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2427" w:rsidR="00AD588C" w:rsidP="00FD6336" w:rsidRDefault="006C6919" w14:paraId="6A077032" w14:textId="403D098F">
      <w:pPr>
        <w:pStyle w:val="Heading2"/>
        <w:rPr>
          <w:sz w:val="44"/>
          <w:szCs w:val="44"/>
        </w:rPr>
      </w:pPr>
      <w:r>
        <w:rPr>
          <w:sz w:val="44"/>
          <w:szCs w:val="44"/>
        </w:rPr>
        <w:t xml:space="preserve">Professional Standard: </w:t>
      </w:r>
      <w:r w:rsidR="008A2427">
        <w:rPr>
          <w:sz w:val="44"/>
          <w:szCs w:val="44"/>
        </w:rPr>
        <w:br/>
      </w:r>
      <w:r w:rsidR="00687D75">
        <w:rPr>
          <w:sz w:val="44"/>
          <w:szCs w:val="44"/>
        </w:rPr>
        <w:t xml:space="preserve">Certified </w:t>
      </w:r>
      <w:r w:rsidR="001C1105">
        <w:rPr>
          <w:sz w:val="44"/>
          <w:szCs w:val="44"/>
        </w:rPr>
        <w:t>Fire Investigator</w:t>
      </w:r>
      <w:r w:rsidR="008A2427">
        <w:rPr>
          <w:sz w:val="44"/>
          <w:szCs w:val="44"/>
        </w:rPr>
        <w:t xml:space="preserve"> Requirements</w:t>
      </w:r>
    </w:p>
    <w:p w:rsidR="00FD6336" w:rsidP="00E85782" w:rsidRDefault="00FD6336" w14:paraId="3A681ABC" w14:textId="77777777">
      <w:pPr>
        <w:rPr>
          <w:rFonts w:cs="MyriadPro-Bold" w:asciiTheme="majorHAnsi" w:hAnsiTheme="majorHAnsi"/>
          <w:b/>
          <w:bCs/>
          <w:color w:val="0033A0"/>
          <w:sz w:val="28"/>
          <w:szCs w:val="28"/>
          <w:lang w:val="en-GB" w:eastAsia="ja-JP"/>
        </w:rPr>
      </w:pPr>
      <w:r w:rsidRPr="00FD6336">
        <w:rPr>
          <w:rFonts w:cs="MyriadPro-Bold" w:asciiTheme="majorHAnsi" w:hAnsiTheme="majorHAnsi"/>
          <w:b/>
          <w:bCs/>
          <w:color w:val="0033A0"/>
          <w:sz w:val="28"/>
          <w:szCs w:val="28"/>
          <w:lang w:val="en-GB" w:eastAsia="ja-JP"/>
        </w:rPr>
        <w:t>Authority</w:t>
      </w:r>
    </w:p>
    <w:p w:rsidR="00AD588C" w:rsidP="1818A31D" w:rsidRDefault="00BB6603" w14:paraId="46D67FB4" w14:textId="51B94D07">
      <w:pPr>
        <w:pStyle w:val="Normal"/>
      </w:pPr>
      <w:r w:rsidRPr="1818A31D" w:rsidR="00BB6603">
        <w:rPr>
          <w:lang w:eastAsia="ja-JP"/>
        </w:rPr>
        <w:t xml:space="preserve">This standard was endorsed by the </w:t>
      </w:r>
      <w:r w:rsidRPr="1818A31D" w:rsidR="00A224B7">
        <w:rPr>
          <w:lang w:eastAsia="ja-JP"/>
        </w:rPr>
        <w:t>EMPS Panel</w:t>
      </w:r>
      <w:r w:rsidRPr="1818A31D" w:rsidR="00BB6603">
        <w:rPr>
          <w:lang w:eastAsia="ja-JP"/>
        </w:rPr>
        <w:t xml:space="preserve"> </w:t>
      </w:r>
      <w:r w:rsidRPr="1818A31D" w:rsidR="54DD0909">
        <w:rPr>
          <w:lang w:eastAsia="ja-JP"/>
        </w:rPr>
        <w:t xml:space="preserve">on </w:t>
      </w:r>
      <w:r w:rsidRPr="1818A31D" w:rsidR="54DD090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AU"/>
        </w:rPr>
        <w:t>24 February 2026</w:t>
      </w:r>
      <w:r w:rsidRPr="1818A31D" w:rsidR="00BB6603">
        <w:rPr>
          <w:lang w:eastAsia="ja-JP"/>
        </w:rPr>
        <w:t>.</w:t>
      </w:r>
    </w:p>
    <w:p w:rsidR="00AD588C" w:rsidP="00FD6336" w:rsidRDefault="00FD6336" w14:paraId="2DEDFB54" w14:textId="77777777">
      <w:pPr>
        <w:pStyle w:val="Heading3"/>
      </w:pPr>
      <w:r w:rsidRPr="00FD6336">
        <w:t>Context</w:t>
      </w:r>
    </w:p>
    <w:p w:rsidR="00BD5305" w:rsidP="00BD5305" w:rsidRDefault="00BD5305" w14:paraId="7547BD6C" w14:textId="77777777">
      <w:r>
        <w:t>The Emergency Management Professionalisation Scheme (the Scheme) is a program to recognise the skills, abilities and experience of</w:t>
      </w:r>
      <w:r w:rsidRPr="003F1769">
        <w:t xml:space="preserve"> </w:t>
      </w:r>
      <w:r>
        <w:t>emergency management practitioners.</w:t>
      </w:r>
    </w:p>
    <w:p w:rsidR="00BD5305" w:rsidP="00BD5305" w:rsidRDefault="00BD5305" w14:paraId="5C3ACCD2" w14:textId="77777777"/>
    <w:p w:rsidR="00BD5305" w:rsidP="00BD5305" w:rsidRDefault="00BD5305" w14:paraId="56D08667" w14:textId="77777777">
      <w:r>
        <w:t>Established by AFAC, the national council and peak body for fire, land management and emergency service agencies in Australia and New Zealand, the Scheme is an initiative designed to promote emergency management as a profession.</w:t>
      </w:r>
    </w:p>
    <w:p w:rsidR="00BD5305" w:rsidP="00BD5305" w:rsidRDefault="00BD5305" w14:paraId="18C10FC3" w14:textId="77777777"/>
    <w:p w:rsidR="00FD6336" w:rsidP="00BD5305" w:rsidRDefault="00BD5305" w14:paraId="0E1B8405" w14:textId="4186665C">
      <w:r>
        <w:t>The Scheme is open to career and volunteer personnel of AFAC member agencies, as well as individuals from other approved organisations.</w:t>
      </w:r>
    </w:p>
    <w:p w:rsidR="00FD6336" w:rsidP="00FD6336" w:rsidRDefault="00FD6336" w14:paraId="50A471C8" w14:textId="77777777">
      <w:pPr>
        <w:pStyle w:val="Heading3"/>
      </w:pPr>
      <w:r w:rsidRPr="00FD6336">
        <w:t>Scope of application</w:t>
      </w:r>
    </w:p>
    <w:p w:rsidR="00FD6336" w:rsidP="7D4F6BBB" w:rsidRDefault="00FD6336" w14:paraId="4FADE7D0" w14:textId="71F26B38">
      <w:pPr>
        <w:rPr>
          <w:lang w:val="en-AU" w:eastAsia="ja-JP"/>
        </w:rPr>
      </w:pPr>
      <w:r w:rsidRPr="7D4F6BBB" w:rsidR="00FD6336">
        <w:rPr>
          <w:lang w:val="en-AU" w:eastAsia="ja-JP"/>
        </w:rPr>
        <w:t xml:space="preserve">This standard applies to applicants seeking recognition in the role of </w:t>
      </w:r>
      <w:r w:rsidRPr="7D4F6BBB" w:rsidR="00BE2AEF">
        <w:rPr>
          <w:lang w:val="en-AU" w:eastAsia="ja-JP"/>
        </w:rPr>
        <w:t xml:space="preserve">Certified </w:t>
      </w:r>
      <w:r w:rsidRPr="7D4F6BBB" w:rsidR="001C1105">
        <w:rPr>
          <w:lang w:val="en-AU" w:eastAsia="ja-JP"/>
        </w:rPr>
        <w:t>Fire Investigator</w:t>
      </w:r>
      <w:r w:rsidRPr="7D4F6BBB" w:rsidR="00FD6336">
        <w:rPr>
          <w:lang w:val="en-AU" w:eastAsia="ja-JP"/>
        </w:rPr>
        <w:t xml:space="preserve">.  </w:t>
      </w:r>
    </w:p>
    <w:p w:rsidRPr="00FD6336" w:rsidR="00BE2AEF" w:rsidP="00FD6336" w:rsidRDefault="00BE2AEF" w14:paraId="5DA2EE74" w14:textId="77777777">
      <w:pPr>
        <w:rPr>
          <w:lang w:val="en-GB" w:eastAsia="ja-JP"/>
        </w:rPr>
      </w:pPr>
    </w:p>
    <w:p w:rsidR="00FD6336" w:rsidP="00FD6336" w:rsidRDefault="00FD6336" w14:paraId="4EA2B474" w14:textId="77777777">
      <w:pPr>
        <w:rPr>
          <w:lang w:val="en-GB" w:eastAsia="ja-JP"/>
        </w:rPr>
      </w:pPr>
      <w:r w:rsidRPr="00FD6336">
        <w:rPr>
          <w:lang w:val="en-GB" w:eastAsia="ja-JP"/>
        </w:rPr>
        <w:t xml:space="preserve">Hazard specific expertise will be evaluated as part of the credentialing process, </w:t>
      </w:r>
      <w:r w:rsidR="00BE2AEF">
        <w:rPr>
          <w:lang w:val="en-GB" w:eastAsia="ja-JP"/>
        </w:rPr>
        <w:t>but credentials are not awarded by hazard class</w:t>
      </w:r>
      <w:r w:rsidRPr="00FD6336">
        <w:rPr>
          <w:lang w:val="en-GB" w:eastAsia="ja-JP"/>
        </w:rPr>
        <w:t>.</w:t>
      </w:r>
    </w:p>
    <w:p w:rsidRPr="00FD6336" w:rsidR="00FD6336" w:rsidP="00FD6336" w:rsidRDefault="00FD6336" w14:paraId="52F19796" w14:textId="77777777">
      <w:pPr>
        <w:rPr>
          <w:lang w:val="en-GB" w:eastAsia="ja-JP"/>
        </w:rPr>
      </w:pPr>
    </w:p>
    <w:p w:rsidR="00FD6336" w:rsidP="00FD6336" w:rsidRDefault="00FD6336" w14:paraId="19514058" w14:textId="1F2AEAEE">
      <w:pPr>
        <w:rPr>
          <w:lang w:val="en-GB" w:eastAsia="ja-JP"/>
        </w:rPr>
      </w:pPr>
      <w:r w:rsidRPr="00FD6336">
        <w:rPr>
          <w:lang w:val="en-GB" w:eastAsia="ja-JP"/>
        </w:rPr>
        <w:t>Applicants may be career staff or volunteers of AFAC member agencies or personnel from commercial</w:t>
      </w:r>
      <w:r w:rsidR="00335404">
        <w:rPr>
          <w:lang w:val="en-GB" w:eastAsia="ja-JP"/>
        </w:rPr>
        <w:t>, not for profit</w:t>
      </w:r>
      <w:r w:rsidRPr="00FD6336">
        <w:rPr>
          <w:lang w:val="en-GB" w:eastAsia="ja-JP"/>
        </w:rPr>
        <w:t xml:space="preserve"> or other government entities.</w:t>
      </w:r>
    </w:p>
    <w:p w:rsidR="00FD6336" w:rsidP="00FD6336" w:rsidRDefault="00E43D15" w14:paraId="5D1E2431" w14:textId="77777777">
      <w:pPr>
        <w:pStyle w:val="Heading3"/>
      </w:pPr>
      <w:r>
        <w:t>Credential</w:t>
      </w:r>
    </w:p>
    <w:p w:rsidR="00167843" w:rsidP="007C746B" w:rsidRDefault="00167843" w14:paraId="685F5CCA" w14:textId="47792A78">
      <w:pPr>
        <w:spacing w:after="120"/>
        <w:rPr>
          <w:lang w:val="en-GB" w:eastAsia="ja-JP"/>
        </w:rPr>
      </w:pPr>
      <w:r w:rsidRPr="00FD6336">
        <w:rPr>
          <w:lang w:val="en-GB" w:eastAsia="ja-JP"/>
        </w:rPr>
        <w:t>Th</w:t>
      </w:r>
      <w:r>
        <w:rPr>
          <w:lang w:val="en-GB" w:eastAsia="ja-JP"/>
        </w:rPr>
        <w:t xml:space="preserve">e Certified </w:t>
      </w:r>
      <w:r w:rsidR="001C1105">
        <w:rPr>
          <w:lang w:val="en-GB" w:eastAsia="ja-JP"/>
        </w:rPr>
        <w:t>Fire Investigator</w:t>
      </w:r>
      <w:r w:rsidRPr="00FD6336">
        <w:rPr>
          <w:lang w:val="en-GB" w:eastAsia="ja-JP"/>
        </w:rPr>
        <w:t xml:space="preserve"> credential is awarded to an individual who has successfully fulfilled all eligibility requirements. Individuals will be recognised as </w:t>
      </w:r>
      <w:r w:rsidR="000804E5">
        <w:rPr>
          <w:lang w:val="en-GB" w:eastAsia="ja-JP"/>
        </w:rPr>
        <w:t>possessing advanced capability</w:t>
      </w:r>
      <w:r w:rsidRPr="00FD6336">
        <w:rPr>
          <w:lang w:val="en-GB" w:eastAsia="ja-JP"/>
        </w:rPr>
        <w:t xml:space="preserve"> </w:t>
      </w:r>
      <w:r w:rsidR="001C1105">
        <w:rPr>
          <w:lang w:val="en-GB" w:eastAsia="ja-JP"/>
        </w:rPr>
        <w:t xml:space="preserve">in carrying out complex origin and cause fire investigations involving </w:t>
      </w:r>
      <w:r w:rsidR="000804E5">
        <w:rPr>
          <w:lang w:val="en-GB" w:eastAsia="ja-JP"/>
        </w:rPr>
        <w:t xml:space="preserve">factors such as </w:t>
      </w:r>
      <w:r w:rsidR="001C1105">
        <w:rPr>
          <w:lang w:val="en-GB" w:eastAsia="ja-JP"/>
        </w:rPr>
        <w:t>significant size of fire, high value loss, serious criminal action</w:t>
      </w:r>
      <w:r w:rsidR="000804E5">
        <w:rPr>
          <w:lang w:val="en-GB" w:eastAsia="ja-JP"/>
        </w:rPr>
        <w:t xml:space="preserve">, </w:t>
      </w:r>
      <w:r w:rsidRPr="000804E5" w:rsidR="000804E5">
        <w:rPr>
          <w:lang w:val="en-GB" w:eastAsia="ja-JP"/>
        </w:rPr>
        <w:t>limited indicators to determine fire spread</w:t>
      </w:r>
      <w:r w:rsidR="001C1105">
        <w:rPr>
          <w:lang w:val="en-GB" w:eastAsia="ja-JP"/>
        </w:rPr>
        <w:t xml:space="preserve"> or substantial destruction of the scene. Certified fire investigators </w:t>
      </w:r>
      <w:r w:rsidR="00A65BCC">
        <w:rPr>
          <w:lang w:val="en-GB" w:eastAsia="ja-JP"/>
        </w:rPr>
        <w:t>are</w:t>
      </w:r>
      <w:r w:rsidR="001C1105">
        <w:rPr>
          <w:lang w:val="en-GB" w:eastAsia="ja-JP"/>
        </w:rPr>
        <w:t xml:space="preserve"> expected to be able to present credible evidence in court</w:t>
      </w:r>
      <w:r w:rsidR="00F64236">
        <w:rPr>
          <w:lang w:val="en-GB" w:eastAsia="ja-JP"/>
        </w:rPr>
        <w:t xml:space="preserve"> in the capacity of expert witness,</w:t>
      </w:r>
      <w:r w:rsidR="001C1105">
        <w:rPr>
          <w:lang w:val="en-GB" w:eastAsia="ja-JP"/>
        </w:rPr>
        <w:t xml:space="preserve"> based on a detailed fire investigation report, and to appropriately defend their conclusions </w:t>
      </w:r>
      <w:proofErr w:type="gramStart"/>
      <w:r w:rsidR="001C1105">
        <w:rPr>
          <w:lang w:val="en-GB" w:eastAsia="ja-JP"/>
        </w:rPr>
        <w:t>in the event that</w:t>
      </w:r>
      <w:proofErr w:type="gramEnd"/>
      <w:r w:rsidR="001C1105">
        <w:rPr>
          <w:lang w:val="en-GB" w:eastAsia="ja-JP"/>
        </w:rPr>
        <w:t xml:space="preserve"> their evidence is contested</w:t>
      </w:r>
      <w:r>
        <w:rPr>
          <w:lang w:val="en-GB" w:eastAsia="ja-JP"/>
        </w:rPr>
        <w:t>.</w:t>
      </w:r>
      <w:r w:rsidR="001C1105">
        <w:rPr>
          <w:lang w:val="en-GB" w:eastAsia="ja-JP"/>
        </w:rPr>
        <w:t xml:space="preserve"> </w:t>
      </w:r>
    </w:p>
    <w:p w:rsidR="00E11E16" w:rsidP="00E11E16" w:rsidRDefault="00E11E16" w14:paraId="2D77AE4A" w14:textId="6906133A">
      <w:pPr>
        <w:pStyle w:val="Heading3"/>
      </w:pPr>
      <w:r w:rsidRPr="00E11E16">
        <w:t xml:space="preserve">Eligibility – Certified </w:t>
      </w:r>
      <w:r w:rsidR="001C1105">
        <w:t>Fire Investigator</w:t>
      </w:r>
    </w:p>
    <w:p w:rsidR="00E11E16" w:rsidP="00E11E16" w:rsidRDefault="00BC76FB" w14:paraId="63661EDA" w14:textId="77777777">
      <w:pPr>
        <w:rPr>
          <w:lang w:val="en-GB" w:eastAsia="ja-JP"/>
        </w:rPr>
      </w:pPr>
      <w:r>
        <w:rPr>
          <w:lang w:val="en-GB" w:eastAsia="ja-JP"/>
        </w:rPr>
        <w:t>An a</w:t>
      </w:r>
      <w:r w:rsidRPr="00E11E16" w:rsidR="00E11E16">
        <w:rPr>
          <w:lang w:val="en-GB" w:eastAsia="ja-JP"/>
        </w:rPr>
        <w:t>pplicant must be able to provide evidence to demonstrate that he or she:</w:t>
      </w:r>
    </w:p>
    <w:p w:rsidR="006E5419" w:rsidP="00E11E16" w:rsidRDefault="006E5419" w14:paraId="5FBA8675" w14:textId="77777777">
      <w:pPr>
        <w:rPr>
          <w:lang w:val="en-GB" w:eastAsia="ja-JP"/>
        </w:rPr>
      </w:pPr>
    </w:p>
    <w:p w:rsidRPr="006E5419" w:rsidR="003F40FA" w:rsidP="006E5419" w:rsidRDefault="003F40FA" w14:paraId="11C51A9C" w14:textId="7BB2FE3E">
      <w:pPr>
        <w:pStyle w:val="ListParagraph"/>
        <w:numPr>
          <w:ilvl w:val="0"/>
          <w:numId w:val="6"/>
        </w:numPr>
        <w:spacing w:after="120"/>
        <w:ind w:left="714" w:hanging="357"/>
        <w:contextualSpacing w:val="0"/>
      </w:pPr>
      <w:r>
        <w:t xml:space="preserve">Has committed to the </w:t>
      </w:r>
      <w:r w:rsidR="00C807A9">
        <w:t xml:space="preserve">EMPS </w:t>
      </w:r>
      <w:r w:rsidRPr="006E5419">
        <w:t>Code of Ethics.</w:t>
      </w:r>
    </w:p>
    <w:p w:rsidRPr="006E5419" w:rsidR="00E11E16" w:rsidP="006E5419" w:rsidRDefault="00E11E16" w14:paraId="519A9FEC" w14:textId="1245326A">
      <w:pPr>
        <w:pStyle w:val="ListParagraph"/>
        <w:numPr>
          <w:ilvl w:val="0"/>
          <w:numId w:val="6"/>
        </w:numPr>
        <w:spacing w:after="120"/>
        <w:ind w:left="714" w:hanging="357"/>
        <w:contextualSpacing w:val="0"/>
      </w:pPr>
      <w:r w:rsidRPr="006E5419">
        <w:t xml:space="preserve">Has the equivalent of </w:t>
      </w:r>
      <w:r w:rsidRPr="006E5419" w:rsidR="006B5152">
        <w:t>three</w:t>
      </w:r>
      <w:r w:rsidRPr="006E5419">
        <w:t xml:space="preserve"> years or more applicable experience and ha</w:t>
      </w:r>
      <w:r w:rsidRPr="006E5419" w:rsidR="00BC76FB">
        <w:t>s</w:t>
      </w:r>
      <w:r w:rsidRPr="006E5419">
        <w:t xml:space="preserve"> </w:t>
      </w:r>
      <w:r w:rsidR="00C807A9">
        <w:t>investigated and reported on at least three complex fire scenes</w:t>
      </w:r>
      <w:r w:rsidRPr="006E5419">
        <w:t>.</w:t>
      </w:r>
    </w:p>
    <w:p w:rsidRPr="006E5419" w:rsidR="00E11E16" w:rsidP="006E5419" w:rsidRDefault="00E11E16" w14:paraId="33F604FD" w14:textId="77777777">
      <w:pPr>
        <w:pStyle w:val="ListParagraph"/>
        <w:numPr>
          <w:ilvl w:val="0"/>
          <w:numId w:val="6"/>
        </w:numPr>
        <w:spacing w:after="120"/>
        <w:ind w:left="714" w:hanging="357"/>
        <w:contextualSpacing w:val="0"/>
      </w:pPr>
      <w:proofErr w:type="gramStart"/>
      <w:r w:rsidRPr="006E5419">
        <w:lastRenderedPageBreak/>
        <w:t>Is in compliance with</w:t>
      </w:r>
      <w:proofErr w:type="gramEnd"/>
      <w:r w:rsidRPr="006E5419">
        <w:t xml:space="preserve"> the </w:t>
      </w:r>
      <w:r w:rsidRPr="006E5419" w:rsidR="00B11D4A">
        <w:t xml:space="preserve">Professional Standard: </w:t>
      </w:r>
      <w:r w:rsidRPr="006E5419">
        <w:t>Continuing Professional Development.</w:t>
      </w:r>
    </w:p>
    <w:p w:rsidRPr="00A009AB" w:rsidR="00BC76FB" w:rsidP="006E5419" w:rsidRDefault="00E11E16" w14:paraId="002A391A" w14:textId="77777777">
      <w:pPr>
        <w:pStyle w:val="ListParagraph"/>
        <w:numPr>
          <w:ilvl w:val="0"/>
          <w:numId w:val="6"/>
        </w:numPr>
        <w:spacing w:after="120"/>
        <w:ind w:left="714" w:hanging="357"/>
        <w:contextualSpacing w:val="0"/>
        <w:rPr>
          <w:lang w:val="en-GB" w:eastAsia="ja-JP"/>
        </w:rPr>
      </w:pPr>
      <w:r w:rsidRPr="006E5419">
        <w:t>Is supported</w:t>
      </w:r>
      <w:r w:rsidRPr="006E5419" w:rsidR="00A009AB">
        <w:t xml:space="preserve"> in their</w:t>
      </w:r>
      <w:r w:rsidR="00A009AB">
        <w:rPr>
          <w:lang w:val="en-GB" w:eastAsia="ja-JP"/>
        </w:rPr>
        <w:t xml:space="preserve"> application</w:t>
      </w:r>
      <w:r w:rsidRPr="00E11E16">
        <w:rPr>
          <w:lang w:val="en-GB" w:eastAsia="ja-JP"/>
        </w:rPr>
        <w:t xml:space="preserve"> by their home agency or jurisdiction.</w:t>
      </w:r>
    </w:p>
    <w:p w:rsidRPr="003573BA" w:rsidR="00BC76FB" w:rsidP="00BC76FB" w:rsidRDefault="00BC76FB" w14:paraId="6EDD5017" w14:textId="0A5C69F9">
      <w:pPr>
        <w:pStyle w:val="Heading3"/>
      </w:pPr>
      <w:r>
        <w:t>Education r</w:t>
      </w:r>
      <w:r w:rsidRPr="003573BA">
        <w:t xml:space="preserve">equirements for Certified </w:t>
      </w:r>
      <w:r w:rsidR="00C807A9">
        <w:t>Fire Investigators</w:t>
      </w:r>
    </w:p>
    <w:p w:rsidRPr="003573BA" w:rsidR="00BC76FB" w:rsidP="00BC76FB" w:rsidRDefault="00BC76FB" w14:paraId="3B5684A8" w14:textId="77777777">
      <w:pPr>
        <w:rPr>
          <w:lang w:val="en-GB" w:eastAsia="ja-JP"/>
        </w:rPr>
      </w:pPr>
      <w:r w:rsidRPr="003573BA">
        <w:rPr>
          <w:lang w:val="en-GB" w:eastAsia="ja-JP"/>
        </w:rPr>
        <w:t>Applicants must be able to demonstrate:</w:t>
      </w:r>
    </w:p>
    <w:p w:rsidRPr="003573BA" w:rsidR="00BC76FB" w:rsidP="00BC76FB" w:rsidRDefault="00BC76FB" w14:paraId="012C0477" w14:textId="77777777">
      <w:pPr>
        <w:rPr>
          <w:lang w:val="en-GB" w:eastAsia="ja-JP"/>
        </w:rPr>
      </w:pPr>
    </w:p>
    <w:p w:rsidRPr="004C09BB" w:rsidR="00BC76FB" w:rsidP="004C09BB" w:rsidRDefault="006E5419" w14:paraId="10B3FE22" w14:textId="77777777">
      <w:pPr>
        <w:pStyle w:val="ListParagraph"/>
        <w:numPr>
          <w:ilvl w:val="0"/>
          <w:numId w:val="9"/>
        </w:numPr>
        <w:spacing w:after="120"/>
        <w:contextualSpacing w:val="0"/>
        <w:rPr>
          <w:lang w:val="en-GB" w:eastAsia="ja-JP"/>
        </w:rPr>
      </w:pPr>
      <w:r>
        <w:rPr>
          <w:lang w:val="en-GB" w:eastAsia="ja-JP"/>
        </w:rPr>
        <w:t>S</w:t>
      </w:r>
      <w:r w:rsidRPr="00BC76FB" w:rsidR="00BC76FB">
        <w:rPr>
          <w:lang w:val="en-GB" w:eastAsia="ja-JP"/>
        </w:rPr>
        <w:t>uccessful completion of one or more of the education components and all associated prerequisites as specified in Table 1</w:t>
      </w:r>
    </w:p>
    <w:p w:rsidRPr="004C09BB" w:rsidR="00BC76FB" w:rsidP="004C09BB" w:rsidRDefault="006E5419" w14:paraId="64291AF8" w14:textId="5FE2DE5B">
      <w:pPr>
        <w:pStyle w:val="ListParagraph"/>
        <w:numPr>
          <w:ilvl w:val="0"/>
          <w:numId w:val="9"/>
        </w:numPr>
        <w:spacing w:after="120"/>
        <w:contextualSpacing w:val="0"/>
        <w:rPr>
          <w:lang w:val="en-GB" w:eastAsia="ja-JP"/>
        </w:rPr>
      </w:pPr>
      <w:r>
        <w:rPr>
          <w:lang w:val="en-GB" w:eastAsia="ja-JP"/>
        </w:rPr>
        <w:t>C</w:t>
      </w:r>
      <w:r w:rsidRPr="003573BA" w:rsidR="00BC76FB">
        <w:rPr>
          <w:lang w:val="en-GB" w:eastAsia="ja-JP"/>
        </w:rPr>
        <w:t xml:space="preserve">apabilities as described in the Professional Standard: </w:t>
      </w:r>
      <w:r w:rsidR="00C807A9">
        <w:rPr>
          <w:lang w:val="en-GB" w:eastAsia="ja-JP"/>
        </w:rPr>
        <w:t>Fire Investigator</w:t>
      </w:r>
      <w:r w:rsidR="00BC76FB">
        <w:rPr>
          <w:lang w:val="en-GB" w:eastAsia="ja-JP"/>
        </w:rPr>
        <w:t xml:space="preserve"> Capabilities</w:t>
      </w:r>
      <w:r w:rsidRPr="003573BA" w:rsidR="00BC76FB">
        <w:rPr>
          <w:lang w:val="en-GB" w:eastAsia="ja-JP"/>
        </w:rPr>
        <w:t>; and</w:t>
      </w:r>
    </w:p>
    <w:p w:rsidR="00BC76FB" w:rsidP="004C09BB" w:rsidRDefault="006E5419" w14:paraId="17FC7F6A" w14:textId="77777777">
      <w:pPr>
        <w:pStyle w:val="ListParagraph"/>
        <w:numPr>
          <w:ilvl w:val="0"/>
          <w:numId w:val="9"/>
        </w:numPr>
        <w:spacing w:after="120"/>
        <w:contextualSpacing w:val="0"/>
        <w:rPr>
          <w:lang w:val="en-GB" w:eastAsia="ja-JP"/>
        </w:rPr>
      </w:pPr>
      <w:r>
        <w:rPr>
          <w:lang w:val="en-GB" w:eastAsia="ja-JP"/>
        </w:rPr>
        <w:t>W</w:t>
      </w:r>
      <w:r w:rsidRPr="003573BA" w:rsidR="00BC76FB">
        <w:rPr>
          <w:lang w:val="en-GB" w:eastAsia="ja-JP"/>
        </w:rPr>
        <w:t>ritten documentation as evidence of meeting the requirements of this standard.</w:t>
      </w:r>
    </w:p>
    <w:p w:rsidRPr="003573BA" w:rsidR="00BC76FB" w:rsidP="00BC76FB" w:rsidRDefault="00BC76FB" w14:paraId="4CB0C319" w14:textId="77777777">
      <w:pPr>
        <w:pStyle w:val="ListParagraph"/>
        <w:rPr>
          <w:lang w:val="en-GB" w:eastAsia="ja-JP"/>
        </w:rPr>
      </w:pPr>
    </w:p>
    <w:p w:rsidR="00BC76FB" w:rsidP="00BC76FB" w:rsidRDefault="00BC76FB" w14:paraId="34397BC3" w14:textId="77777777">
      <w:pPr>
        <w:rPr>
          <w:lang w:val="en-GB" w:eastAsia="ja-JP"/>
        </w:rPr>
      </w:pPr>
      <w:r>
        <w:rPr>
          <w:lang w:val="en-GB" w:eastAsia="ja-JP"/>
        </w:rPr>
        <w:t>Table 1:</w:t>
      </w:r>
    </w:p>
    <w:tbl>
      <w:tblPr>
        <w:tblStyle w:val="TableGrid"/>
        <w:tblW w:w="9781" w:type="dxa"/>
        <w:tblInd w:w="108" w:type="dxa"/>
        <w:tblLook w:val="04A0" w:firstRow="1" w:lastRow="0" w:firstColumn="1" w:lastColumn="0" w:noHBand="0" w:noVBand="1"/>
      </w:tblPr>
      <w:tblGrid>
        <w:gridCol w:w="9781"/>
      </w:tblGrid>
      <w:tr w:rsidR="00BC76FB" w:rsidTr="00BC76FB" w14:paraId="6B1803E5" w14:textId="77777777">
        <w:trPr>
          <w:tblHeader/>
        </w:trPr>
        <w:tc>
          <w:tcPr>
            <w:tcW w:w="9781" w:type="dxa"/>
            <w:shd w:val="clear" w:color="auto" w:fill="BFBFBF" w:themeFill="background1" w:themeFillShade="BF"/>
          </w:tcPr>
          <w:p w:rsidRPr="00A23A08" w:rsidR="00BC76FB" w:rsidP="000F7BB8" w:rsidRDefault="00BC76FB" w14:paraId="1C4DADFA" w14:textId="77777777">
            <w:pPr>
              <w:rPr>
                <w:b/>
                <w:color w:val="000000" w:themeColor="text1"/>
                <w:sz w:val="18"/>
                <w:szCs w:val="18"/>
              </w:rPr>
            </w:pPr>
            <w:r w:rsidRPr="00A23A08">
              <w:rPr>
                <w:b/>
                <w:color w:val="000000" w:themeColor="text1"/>
                <w:sz w:val="18"/>
                <w:szCs w:val="18"/>
              </w:rPr>
              <w:t>Course or Program</w:t>
            </w:r>
          </w:p>
        </w:tc>
      </w:tr>
      <w:tr w:rsidR="00BC76FB" w:rsidTr="00BC76FB" w14:paraId="78758A05" w14:textId="77777777">
        <w:tc>
          <w:tcPr>
            <w:tcW w:w="9781" w:type="dxa"/>
          </w:tcPr>
          <w:p w:rsidR="00BC76FB" w:rsidP="000F7BB8" w:rsidRDefault="00BC76FB" w14:paraId="135A4B40" w14:textId="77777777"/>
          <w:p w:rsidR="000D0DB5" w:rsidP="00227D7B" w:rsidRDefault="000D0DB5" w14:paraId="1641AF50" w14:textId="421DBF0A">
            <w:pPr>
              <w:rPr>
                <w:i/>
              </w:rPr>
            </w:pPr>
            <w:r w:rsidRPr="000D0DB5">
              <w:t>PUA</w:t>
            </w:r>
            <w:r w:rsidR="00F242C9">
              <w:t>60913 Advanced Diploma in Fire Investigation</w:t>
            </w:r>
            <w:r w:rsidR="0027422C">
              <w:t xml:space="preserve"> </w:t>
            </w:r>
          </w:p>
          <w:p w:rsidR="00227D7B" w:rsidP="00227D7B" w:rsidRDefault="00227D7B" w14:paraId="7956227A" w14:textId="53FFC552"/>
        </w:tc>
      </w:tr>
      <w:tr w:rsidR="00BC76FB" w:rsidTr="00BC76FB" w14:paraId="3D7E5A96" w14:textId="77777777">
        <w:tc>
          <w:tcPr>
            <w:tcW w:w="9781" w:type="dxa"/>
          </w:tcPr>
          <w:p w:rsidR="00BC76FB" w:rsidP="000F7BB8" w:rsidRDefault="00BC76FB" w14:paraId="0A1A2C32" w14:textId="77777777"/>
          <w:p w:rsidR="00BC76FB" w:rsidP="000F7BB8" w:rsidRDefault="005E4D24" w14:paraId="082842F7" w14:textId="312F00C3">
            <w:r w:rsidRPr="005E4D24">
              <w:t xml:space="preserve">A </w:t>
            </w:r>
            <w:r w:rsidR="00F242C9">
              <w:t xml:space="preserve">tertiary </w:t>
            </w:r>
            <w:r w:rsidRPr="005E4D24">
              <w:t xml:space="preserve">qualification awarded after formal assessment </w:t>
            </w:r>
            <w:r w:rsidR="00F242C9">
              <w:t xml:space="preserve">by an institution legally permitted to award qualifications of that nature in its jurisdiction of establishment, </w:t>
            </w:r>
            <w:r w:rsidRPr="005E4D24">
              <w:t xml:space="preserve">and which in the view of the Panel provides evidence of the Applicant’s competence </w:t>
            </w:r>
            <w:r w:rsidR="00F242C9">
              <w:t>in complex fire investigation</w:t>
            </w:r>
            <w:r w:rsidR="0027422C">
              <w:t xml:space="preserve"> </w:t>
            </w:r>
            <w:r w:rsidR="00A44762">
              <w:t xml:space="preserve">at least </w:t>
            </w:r>
            <w:r w:rsidR="0027422C">
              <w:t>equivalent</w:t>
            </w:r>
            <w:r w:rsidR="00A44762">
              <w:t xml:space="preserve"> </w:t>
            </w:r>
            <w:r w:rsidR="0027422C">
              <w:t>to</w:t>
            </w:r>
            <w:r w:rsidRPr="005E4D24">
              <w:t xml:space="preserve"> </w:t>
            </w:r>
            <w:r w:rsidRPr="000D0DB5" w:rsidR="00F242C9">
              <w:t>PUA</w:t>
            </w:r>
            <w:r w:rsidR="00F242C9">
              <w:t>60913 Advanced Diploma in Fire Investigation.</w:t>
            </w:r>
            <w:r>
              <w:t xml:space="preserve"> </w:t>
            </w:r>
          </w:p>
          <w:p w:rsidR="00BC76FB" w:rsidP="000F7BB8" w:rsidRDefault="00BC76FB" w14:paraId="0B9DBD93" w14:textId="77777777"/>
        </w:tc>
      </w:tr>
    </w:tbl>
    <w:p w:rsidR="00036C74" w:rsidP="00036C74" w:rsidRDefault="00036C74" w14:paraId="33661073" w14:textId="77777777">
      <w:pPr>
        <w:rPr>
          <w:lang w:val="en-GB" w:eastAsia="ja-JP"/>
        </w:rPr>
      </w:pPr>
    </w:p>
    <w:p w:rsidR="00036C74" w:rsidP="00036C74" w:rsidRDefault="00036C74" w14:paraId="6D91CB17" w14:textId="77777777">
      <w:pPr>
        <w:pStyle w:val="Heading3"/>
      </w:pPr>
      <w:r w:rsidRPr="00036C74">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rsidTr="00C05888" w14:paraId="0F1D3FE9" w14:textId="77777777">
        <w:trPr>
          <w:trHeight w:val="1180" w:hRule="exact"/>
        </w:trPr>
        <w:tc>
          <w:tcPr>
            <w:tcW w:w="3005" w:type="dxa"/>
            <w:tcBorders>
              <w:top w:val="single" w:color="FFFFFF" w:sz="8" w:space="0"/>
              <w:left w:val="nil"/>
              <w:bottom w:val="single" w:color="FFFFFF" w:sz="8" w:space="0"/>
              <w:right w:val="single" w:color="FFFFFF" w:sz="8" w:space="0"/>
            </w:tcBorders>
            <w:shd w:val="clear" w:color="auto" w:fill="273A88"/>
          </w:tcPr>
          <w:p w:rsidR="00036C74" w:rsidP="00566FE3" w:rsidRDefault="00C807A9" w14:paraId="0D291DDB" w14:textId="461E7CC4">
            <w:pPr>
              <w:pStyle w:val="TableParagraph"/>
              <w:spacing w:before="59" w:line="252" w:lineRule="exact"/>
              <w:ind w:left="113" w:right="221"/>
              <w:rPr>
                <w:rFonts w:ascii="Calibri" w:hAnsi="Calibri" w:eastAsia="Calibri" w:cs="Calibri"/>
                <w:sz w:val="21"/>
                <w:szCs w:val="21"/>
              </w:rPr>
            </w:pPr>
            <w:r>
              <w:rPr>
                <w:rFonts w:ascii="Calibri"/>
                <w:b/>
                <w:i/>
                <w:color w:val="FFFFFF"/>
                <w:w w:val="105"/>
                <w:sz w:val="21"/>
              </w:rPr>
              <w:t>Complex fire scene</w:t>
            </w:r>
            <w:r w:rsidR="00036C74">
              <w:rPr>
                <w:rFonts w:ascii="Calibri"/>
                <w:b/>
                <w:i/>
                <w:color w:val="FFFFFF"/>
                <w:spacing w:val="-2"/>
                <w:w w:val="105"/>
                <w:sz w:val="21"/>
              </w:rPr>
              <w:t>:</w:t>
            </w:r>
          </w:p>
        </w:tc>
        <w:tc>
          <w:tcPr>
            <w:tcW w:w="6805" w:type="dxa"/>
            <w:tcBorders>
              <w:top w:val="single" w:color="FFFFFF" w:sz="8" w:space="0"/>
              <w:left w:val="single" w:color="FFFFFF" w:sz="8" w:space="0"/>
              <w:bottom w:val="single" w:color="FFFFFF" w:sz="8" w:space="0"/>
              <w:right w:val="nil"/>
            </w:tcBorders>
            <w:shd w:val="clear" w:color="auto" w:fill="E9E9EA"/>
          </w:tcPr>
          <w:p w:rsidR="00036C74" w:rsidP="00566FE3" w:rsidRDefault="00036C74" w14:paraId="7D6B0EA1" w14:textId="2DA6281C">
            <w:pPr>
              <w:pStyle w:val="TableParagraph"/>
              <w:spacing w:before="57" w:line="264" w:lineRule="exact"/>
              <w:ind w:left="103" w:right="686"/>
              <w:rPr>
                <w:rFonts w:ascii="Calibri" w:hAnsi="Calibri" w:eastAsia="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sidR="00C807A9">
              <w:rPr>
                <w:rFonts w:ascii="Calibri"/>
                <w:color w:val="231F20"/>
                <w:spacing w:val="-2"/>
              </w:rPr>
              <w:t>fire scene involving</w:t>
            </w:r>
            <w:r w:rsidR="00A65BCC">
              <w:rPr>
                <w:rFonts w:ascii="Calibri"/>
                <w:color w:val="231F20"/>
                <w:spacing w:val="-2"/>
              </w:rPr>
              <w:t xml:space="preserve"> factors such as</w:t>
            </w:r>
            <w:r w:rsidR="00C807A9">
              <w:rPr>
                <w:rFonts w:ascii="Calibri"/>
                <w:color w:val="231F20"/>
                <w:spacing w:val="-2"/>
              </w:rPr>
              <w:t xml:space="preserve"> significant physical size of the fire, high value loss, serious criminal action</w:t>
            </w:r>
            <w:r w:rsidR="00A65BCC">
              <w:rPr>
                <w:rFonts w:ascii="Calibri"/>
                <w:color w:val="231F20"/>
                <w:spacing w:val="-2"/>
              </w:rPr>
              <w:t>, limited indicators to determine fire spread</w:t>
            </w:r>
            <w:r w:rsidR="00C807A9">
              <w:rPr>
                <w:rFonts w:ascii="Calibri"/>
                <w:color w:val="231F20"/>
                <w:spacing w:val="-2"/>
              </w:rPr>
              <w:t xml:space="preserve"> or substantial destruction of the scene,</w:t>
            </w:r>
            <w:r>
              <w:rPr>
                <w:rFonts w:ascii="Calibri"/>
                <w:color w:val="231F20"/>
                <w:spacing w:val="4"/>
              </w:rPr>
              <w:t xml:space="preserve"> </w:t>
            </w:r>
            <w:r>
              <w:rPr>
                <w:rFonts w:ascii="Calibri"/>
                <w:color w:val="231F20"/>
              </w:rPr>
              <w:t>as</w:t>
            </w:r>
            <w:r>
              <w:rPr>
                <w:rFonts w:ascii="Calibri"/>
                <w:color w:val="231F20"/>
                <w:spacing w:val="39"/>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10"/>
              </w:rPr>
              <w:t xml:space="preserve"> </w:t>
            </w:r>
            <w:r>
              <w:rPr>
                <w:rFonts w:ascii="Calibri"/>
                <w:color w:val="231F20"/>
                <w:spacing w:val="-1"/>
              </w:rPr>
              <w:t>by</w:t>
            </w:r>
            <w:r>
              <w:rPr>
                <w:rFonts w:ascii="Calibri"/>
                <w:color w:val="231F20"/>
                <w:spacing w:val="11"/>
              </w:rPr>
              <w:t xml:space="preserve"> </w:t>
            </w:r>
            <w:r>
              <w:rPr>
                <w:rFonts w:ascii="Calibri"/>
                <w:color w:val="231F20"/>
              </w:rPr>
              <w:t>the</w:t>
            </w:r>
            <w:r>
              <w:rPr>
                <w:rFonts w:ascii="Calibri"/>
                <w:color w:val="231F20"/>
                <w:spacing w:val="11"/>
              </w:rPr>
              <w:t xml:space="preserve"> </w:t>
            </w:r>
            <w:r>
              <w:rPr>
                <w:rFonts w:ascii="Calibri"/>
                <w:color w:val="231F20"/>
                <w:spacing w:val="-2"/>
              </w:rPr>
              <w:t>Panel</w:t>
            </w:r>
            <w:r>
              <w:rPr>
                <w:rFonts w:ascii="Calibri"/>
                <w:color w:val="231F20"/>
                <w:spacing w:val="-3"/>
              </w:rPr>
              <w:t>.</w:t>
            </w:r>
          </w:p>
        </w:tc>
      </w:tr>
      <w:tr w:rsidR="00036C74" w:rsidTr="000A6D65" w14:paraId="4693F1EE" w14:textId="77777777">
        <w:trPr>
          <w:trHeight w:val="1274" w:hRule="exact"/>
        </w:trPr>
        <w:tc>
          <w:tcPr>
            <w:tcW w:w="3005" w:type="dxa"/>
            <w:tcBorders>
              <w:top w:val="single" w:color="FFFFFF" w:sz="8" w:space="0"/>
              <w:left w:val="nil"/>
              <w:bottom w:val="nil"/>
              <w:right w:val="single" w:color="FFFFFF" w:sz="8" w:space="0"/>
            </w:tcBorders>
            <w:shd w:val="clear" w:color="auto" w:fill="4E5698"/>
          </w:tcPr>
          <w:p w:rsidR="00036C74" w:rsidP="00A009AB" w:rsidRDefault="00036C74" w14:paraId="70298636" w14:textId="77777777">
            <w:pPr>
              <w:pStyle w:val="TableParagraph"/>
              <w:spacing w:before="59" w:line="252" w:lineRule="exact"/>
              <w:ind w:left="113" w:right="787"/>
              <w:rPr>
                <w:rFonts w:ascii="Calibri" w:hAnsi="Calibri" w:eastAsia="Calibri" w:cs="Calibri"/>
                <w:sz w:val="21"/>
                <w:szCs w:val="21"/>
              </w:rPr>
            </w:pPr>
            <w:r>
              <w:rPr>
                <w:rFonts w:ascii="Calibri" w:hAnsi="Calibri" w:eastAsia="Calibri" w:cs="Calibri"/>
                <w:b/>
                <w:bCs/>
                <w:i/>
                <w:color w:val="FFFFFF"/>
                <w:w w:val="105"/>
                <w:sz w:val="21"/>
                <w:szCs w:val="21"/>
              </w:rPr>
              <w:t>Equivalent</w:t>
            </w:r>
            <w:r>
              <w:rPr>
                <w:rFonts w:ascii="Calibri" w:hAnsi="Calibri" w:eastAsia="Calibri" w:cs="Calibri"/>
                <w:b/>
                <w:bCs/>
                <w:i/>
                <w:color w:val="FFFFFF"/>
                <w:spacing w:val="-20"/>
                <w:w w:val="105"/>
                <w:sz w:val="21"/>
                <w:szCs w:val="21"/>
              </w:rPr>
              <w:t xml:space="preserve"> </w:t>
            </w:r>
            <w:r w:rsidR="00A009AB">
              <w:rPr>
                <w:rFonts w:ascii="Calibri" w:hAnsi="Calibri" w:eastAsia="Calibri" w:cs="Calibri"/>
                <w:b/>
                <w:bCs/>
                <w:i/>
                <w:color w:val="FFFFFF"/>
                <w:w w:val="105"/>
                <w:sz w:val="21"/>
                <w:szCs w:val="21"/>
              </w:rPr>
              <w:t>three</w:t>
            </w:r>
            <w:r>
              <w:rPr>
                <w:rFonts w:ascii="Calibri" w:hAnsi="Calibri" w:eastAsia="Calibri" w:cs="Calibri"/>
                <w:b/>
                <w:bCs/>
                <w:i/>
                <w:color w:val="FFFFFF"/>
                <w:spacing w:val="-19"/>
                <w:w w:val="105"/>
                <w:sz w:val="21"/>
                <w:szCs w:val="21"/>
              </w:rPr>
              <w:t xml:space="preserve"> </w:t>
            </w:r>
            <w:r w:rsidR="00BC76FB">
              <w:rPr>
                <w:rFonts w:ascii="Calibri" w:hAnsi="Calibri" w:eastAsia="Calibri" w:cs="Calibri"/>
                <w:b/>
                <w:bCs/>
                <w:i/>
                <w:color w:val="FFFFFF"/>
                <w:w w:val="105"/>
                <w:sz w:val="21"/>
                <w:szCs w:val="21"/>
              </w:rPr>
              <w:t>years’ experience</w:t>
            </w:r>
            <w:r>
              <w:rPr>
                <w:rFonts w:ascii="Calibri" w:hAnsi="Calibri" w:eastAsia="Calibri" w:cs="Calibri"/>
                <w:b/>
                <w:bCs/>
                <w:i/>
                <w:color w:val="FFFFFF"/>
                <w:w w:val="105"/>
                <w:sz w:val="21"/>
                <w:szCs w:val="21"/>
              </w:rPr>
              <w:t>:</w:t>
            </w:r>
          </w:p>
        </w:tc>
        <w:tc>
          <w:tcPr>
            <w:tcW w:w="6805" w:type="dxa"/>
            <w:tcBorders>
              <w:top w:val="single" w:color="FFFFFF" w:sz="8" w:space="0"/>
              <w:left w:val="single" w:color="FFFFFF" w:sz="8" w:space="0"/>
              <w:bottom w:val="nil"/>
              <w:right w:val="nil"/>
            </w:tcBorders>
            <w:shd w:val="clear" w:color="auto" w:fill="F2F3F3"/>
          </w:tcPr>
          <w:p w:rsidR="00036C74" w:rsidP="00A009AB" w:rsidRDefault="00036C74" w14:paraId="040ECB25" w14:textId="01A59682">
            <w:pPr>
              <w:pStyle w:val="TableParagraph"/>
              <w:spacing w:before="57" w:line="264" w:lineRule="exact"/>
              <w:ind w:left="103" w:right="476"/>
              <w:rPr>
                <w:rFonts w:ascii="Calibri" w:hAnsi="Calibri" w:eastAsia="Calibri" w:cs="Calibri"/>
              </w:rPr>
            </w:pPr>
            <w:r>
              <w:rPr>
                <w:rFonts w:ascii="Calibri"/>
                <w:color w:val="231F20"/>
              </w:rPr>
              <w:t>Is</w:t>
            </w:r>
            <w:r>
              <w:rPr>
                <w:rFonts w:ascii="Calibri"/>
                <w:color w:val="231F20"/>
                <w:spacing w:val="11"/>
              </w:rPr>
              <w:t xml:space="preserve"> </w:t>
            </w:r>
            <w:r w:rsidR="00C808B1">
              <w:rPr>
                <w:rFonts w:ascii="Calibri"/>
                <w:color w:val="231F20"/>
              </w:rPr>
              <w:t>experience as a fire investigator at complex fire scenes for at least three years, or in the case of an individual who is Registered as a fire investigator under EMPS, for at least two years following Registration</w:t>
            </w:r>
            <w:r w:rsidRPr="00CE6A1E" w:rsidR="00CE6A1E">
              <w:rPr>
                <w:rFonts w:ascii="Calibri"/>
                <w:color w:val="231F20"/>
              </w:rPr>
              <w:t>,</w:t>
            </w:r>
            <w:r>
              <w:rPr>
                <w:rFonts w:ascii="Calibri"/>
                <w:color w:val="231F20"/>
                <w:spacing w:val="7"/>
              </w:rPr>
              <w:t xml:space="preserve"> </w:t>
            </w:r>
            <w:r>
              <w:rPr>
                <w:rFonts w:ascii="Calibri"/>
                <w:color w:val="231F20"/>
              </w:rPr>
              <w:t>as</w:t>
            </w:r>
            <w:r>
              <w:rPr>
                <w:rFonts w:ascii="Calibri"/>
                <w:color w:val="231F20"/>
                <w:spacing w:val="7"/>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bl>
    <w:p w:rsidR="00036C74" w:rsidP="00036C74" w:rsidRDefault="00036C74" w14:paraId="34B506BC" w14:textId="77777777">
      <w:pPr>
        <w:pStyle w:val="Heading3"/>
      </w:pPr>
      <w:r w:rsidRPr="00036C74">
        <w:t>Review</w:t>
      </w:r>
    </w:p>
    <w:p w:rsidR="00036C74" w:rsidP="4E863862" w:rsidRDefault="00036C74" w14:paraId="1FD03AE2" w14:textId="2D5B6CC6">
      <w:pPr>
        <w:pStyle w:val="Normal"/>
        <w:rPr>
          <w:lang w:val="en-GB" w:eastAsia="ja-JP"/>
        </w:rPr>
      </w:pPr>
      <w:r w:rsidRPr="4E863862" w:rsidR="00036C74">
        <w:rPr>
          <w:lang w:val="en-GB" w:eastAsia="ja-JP"/>
        </w:rPr>
        <w:t xml:space="preserve">This standard will commence </w:t>
      </w:r>
      <w:r w:rsidRPr="4E863862" w:rsidR="3AEB840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AU"/>
        </w:rPr>
        <w:t>24 February 2026</w:t>
      </w:r>
      <w:r w:rsidRPr="4E863862" w:rsidR="00036C74">
        <w:rPr>
          <w:lang w:val="en-GB" w:eastAsia="ja-JP"/>
        </w:rPr>
        <w:t xml:space="preserve">. The Panel will review this standard </w:t>
      </w:r>
      <w:r w:rsidRPr="4E863862" w:rsidR="002872D2">
        <w:rPr>
          <w:lang w:val="en-GB" w:eastAsia="ja-JP"/>
        </w:rPr>
        <w:t xml:space="preserve">after </w:t>
      </w:r>
      <w:r w:rsidRPr="4E863862" w:rsidR="00652444">
        <w:rPr>
          <w:lang w:val="en-GB" w:eastAsia="ja-JP"/>
        </w:rPr>
        <w:t>two</w:t>
      </w:r>
      <w:r w:rsidRPr="4E863862" w:rsidR="002872D2">
        <w:rPr>
          <w:lang w:val="en-GB" w:eastAsia="ja-JP"/>
        </w:rPr>
        <w:t xml:space="preserve"> years or as </w:t>
      </w:r>
      <w:r w:rsidRPr="4E863862" w:rsidR="002872D2">
        <w:rPr>
          <w:lang w:val="en-GB" w:eastAsia="ja-JP"/>
        </w:rPr>
        <w:t>required</w:t>
      </w:r>
      <w:r w:rsidRPr="4E863862" w:rsidR="00036C74">
        <w:rPr>
          <w:lang w:val="en-GB" w:eastAsia="ja-JP"/>
        </w:rPr>
        <w:t>.</w:t>
      </w:r>
    </w:p>
    <w:p w:rsidR="00CF7824" w:rsidP="00CF7824" w:rsidRDefault="00CF7824" w14:paraId="41E5D745" w14:textId="77777777">
      <w:pPr>
        <w:pStyle w:val="Heading3"/>
      </w:pPr>
      <w:r>
        <w:t>Continuing professional development</w:t>
      </w:r>
    </w:p>
    <w:p w:rsidR="00CF7824" w:rsidP="00CF7824" w:rsidRDefault="00CF7824" w14:paraId="2980411E" w14:textId="5AAF58E6">
      <w:pPr>
        <w:rPr>
          <w:lang w:val="en-GB" w:eastAsia="ja-JP"/>
        </w:rPr>
      </w:pPr>
      <w:r>
        <w:rPr>
          <w:lang w:val="en-GB" w:eastAsia="ja-JP"/>
        </w:rPr>
        <w:t>The following Continuing Professional Development requirement</w:t>
      </w:r>
      <w:r w:rsidR="00015B16">
        <w:rPr>
          <w:lang w:val="en-GB" w:eastAsia="ja-JP"/>
        </w:rPr>
        <w:t>, which must be recorded and reported in accordance with the EMPS Professional Standard: Continuing Professional Development</w:t>
      </w:r>
      <w:r>
        <w:rPr>
          <w:lang w:val="en-GB" w:eastAsia="ja-JP"/>
        </w:rPr>
        <w:t xml:space="preserve"> applies to Certified Fire Investigators:</w:t>
      </w:r>
    </w:p>
    <w:p w:rsidR="00CF7824" w:rsidP="00CF7824" w:rsidRDefault="00CF7824" w14:paraId="384EE794" w14:textId="77777777">
      <w:pPr>
        <w:rPr>
          <w:lang w:val="en-GB" w:eastAsia="ja-JP"/>
        </w:rPr>
      </w:pPr>
    </w:p>
    <w:p w:rsidR="00CF7824" w:rsidP="00CF7824" w:rsidRDefault="00CF7824" w14:paraId="4616DDC6" w14:textId="1C109FD5">
      <w:pPr>
        <w:pStyle w:val="ListParagraph"/>
        <w:numPr>
          <w:ilvl w:val="0"/>
          <w:numId w:val="11"/>
        </w:numPr>
        <w:rPr>
          <w:lang w:val="en-GB" w:eastAsia="ja-JP"/>
        </w:rPr>
      </w:pPr>
      <w:r>
        <w:rPr>
          <w:lang w:val="en-GB" w:eastAsia="ja-JP"/>
        </w:rPr>
        <w:lastRenderedPageBreak/>
        <w:t xml:space="preserve">Thirty </w:t>
      </w:r>
      <w:r w:rsidR="00015B16">
        <w:rPr>
          <w:lang w:val="en-GB" w:eastAsia="ja-JP"/>
        </w:rPr>
        <w:t xml:space="preserve">recorded </w:t>
      </w:r>
      <w:r>
        <w:rPr>
          <w:lang w:val="en-GB" w:eastAsia="ja-JP"/>
        </w:rPr>
        <w:t>hours of knowledge development per year, which is exposure to external learning in relation to fire investigation through training courses, seminars, conferences, online learning, reading journal articles and research</w:t>
      </w:r>
    </w:p>
    <w:p w:rsidR="00CF7824" w:rsidP="00CF7824" w:rsidRDefault="00CF7824" w14:paraId="7646D9EE" w14:textId="7F818737">
      <w:pPr>
        <w:pStyle w:val="ListParagraph"/>
        <w:numPr>
          <w:ilvl w:val="0"/>
          <w:numId w:val="11"/>
        </w:numPr>
        <w:rPr>
          <w:lang w:val="en-GB" w:eastAsia="ja-JP"/>
        </w:rPr>
      </w:pPr>
      <w:r w:rsidRPr="00CF7824">
        <w:rPr>
          <w:lang w:val="en-GB" w:eastAsia="ja-JP"/>
        </w:rPr>
        <w:t xml:space="preserve">Attend and supervise or conduct </w:t>
      </w:r>
      <w:r>
        <w:rPr>
          <w:lang w:val="en-GB" w:eastAsia="ja-JP"/>
        </w:rPr>
        <w:t>two</w:t>
      </w:r>
      <w:r w:rsidRPr="00CF7824">
        <w:rPr>
          <w:lang w:val="en-GB" w:eastAsia="ja-JP"/>
        </w:rPr>
        <w:t xml:space="preserve"> complex fire investigations </w:t>
      </w:r>
      <w:r w:rsidR="00A44762">
        <w:rPr>
          <w:lang w:val="en-GB" w:eastAsia="ja-JP"/>
        </w:rPr>
        <w:t xml:space="preserve">over a rolling </w:t>
      </w:r>
      <w:proofErr w:type="gramStart"/>
      <w:r w:rsidR="00A44762">
        <w:rPr>
          <w:lang w:val="en-GB" w:eastAsia="ja-JP"/>
        </w:rPr>
        <w:t>two year</w:t>
      </w:r>
      <w:proofErr w:type="gramEnd"/>
      <w:r w:rsidR="00A44762">
        <w:rPr>
          <w:lang w:val="en-GB" w:eastAsia="ja-JP"/>
        </w:rPr>
        <w:t xml:space="preserve"> period</w:t>
      </w:r>
      <w:r w:rsidRPr="00CF7824">
        <w:rPr>
          <w:lang w:val="en-GB" w:eastAsia="ja-JP"/>
        </w:rPr>
        <w:t>.</w:t>
      </w:r>
    </w:p>
    <w:p w:rsidR="00CF7824" w:rsidP="00CF7824" w:rsidRDefault="00CF7824" w14:paraId="172379F9" w14:textId="77777777">
      <w:pPr>
        <w:pStyle w:val="Heading3"/>
      </w:pPr>
      <w:r>
        <w:t>Areas of competency</w:t>
      </w:r>
    </w:p>
    <w:p w:rsidRPr="00AD0A70" w:rsidR="00CF7824" w:rsidP="00CF7824" w:rsidRDefault="00CF7824" w14:paraId="470AF855" w14:textId="17054093">
      <w:pPr>
        <w:rPr>
          <w:lang w:val="en-GB" w:eastAsia="ja-JP"/>
        </w:rPr>
      </w:pPr>
      <w:r>
        <w:rPr>
          <w:lang w:val="en-GB" w:eastAsia="ja-JP"/>
        </w:rPr>
        <w:t>Certified fire</w:t>
      </w:r>
      <w:r w:rsidRPr="00464A3D">
        <w:rPr>
          <w:lang w:val="en-GB" w:eastAsia="ja-JP"/>
        </w:rPr>
        <w:t xml:space="preserve"> investigator</w:t>
      </w:r>
      <w:r>
        <w:rPr>
          <w:lang w:val="en-GB" w:eastAsia="ja-JP"/>
        </w:rPr>
        <w:t>s</w:t>
      </w:r>
      <w:r w:rsidRPr="00464A3D">
        <w:rPr>
          <w:lang w:val="en-GB" w:eastAsia="ja-JP"/>
        </w:rPr>
        <w:t xml:space="preserve"> </w:t>
      </w:r>
      <w:r>
        <w:rPr>
          <w:lang w:val="en-GB" w:eastAsia="ja-JP"/>
        </w:rPr>
        <w:t>should</w:t>
      </w:r>
      <w:r w:rsidRPr="00464A3D">
        <w:rPr>
          <w:lang w:val="en-GB" w:eastAsia="ja-JP"/>
        </w:rPr>
        <w:t xml:space="preserve"> have and maintain at a minimum an up-to-date </w:t>
      </w:r>
      <w:r>
        <w:rPr>
          <w:lang w:val="en-GB" w:eastAsia="ja-JP"/>
        </w:rPr>
        <w:t>sound</w:t>
      </w:r>
      <w:r w:rsidRPr="00464A3D">
        <w:rPr>
          <w:lang w:val="en-GB" w:eastAsia="ja-JP"/>
        </w:rPr>
        <w:t xml:space="preserve"> knowledge of the following topics </w:t>
      </w:r>
      <w:r w:rsidRPr="00AD0A70">
        <w:rPr>
          <w:lang w:val="en-GB" w:eastAsia="ja-JP"/>
        </w:rPr>
        <w:t xml:space="preserve">relevant to </w:t>
      </w:r>
      <w:r>
        <w:rPr>
          <w:lang w:val="en-GB" w:eastAsia="ja-JP"/>
        </w:rPr>
        <w:t>their</w:t>
      </w:r>
      <w:r w:rsidRPr="00AD0A70">
        <w:rPr>
          <w:lang w:val="en-GB" w:eastAsia="ja-JP"/>
        </w:rPr>
        <w:t xml:space="preserve"> area of expertise. Exposure to these topics should occur within a </w:t>
      </w:r>
      <w:proofErr w:type="gramStart"/>
      <w:r w:rsidRPr="00AD0A70">
        <w:rPr>
          <w:lang w:val="en-GB" w:eastAsia="ja-JP"/>
        </w:rPr>
        <w:t>three year</w:t>
      </w:r>
      <w:proofErr w:type="gramEnd"/>
      <w:r w:rsidRPr="00AD0A70">
        <w:rPr>
          <w:lang w:val="en-GB" w:eastAsia="ja-JP"/>
        </w:rPr>
        <w:t xml:space="preserve"> cycle. </w:t>
      </w:r>
      <w:r>
        <w:rPr>
          <w:lang w:val="en-GB" w:eastAsia="ja-JP"/>
        </w:rPr>
        <w:t>If an asterisked* topic is irrelevant to a practitioner’s field of practice e.g. for a specialist bushfire fire investigator, the requirement does not apply to that topic.</w:t>
      </w:r>
    </w:p>
    <w:p w:rsidRPr="00AD0A70" w:rsidR="00CF7824" w:rsidP="00CF7824" w:rsidRDefault="00CF7824" w14:paraId="0AE5BB89" w14:textId="77777777">
      <w:pPr>
        <w:rPr>
          <w:lang w:val="en-GB" w:eastAsia="ja-JP"/>
        </w:rPr>
      </w:pPr>
    </w:p>
    <w:p w:rsidRPr="00AD0A70" w:rsidR="00CF7824" w:rsidP="00CF7824" w:rsidRDefault="00CF7824" w14:paraId="2A582467" w14:textId="77777777">
      <w:pPr>
        <w:pStyle w:val="ListParagraph"/>
        <w:numPr>
          <w:ilvl w:val="0"/>
          <w:numId w:val="12"/>
        </w:numPr>
        <w:rPr>
          <w:lang w:val="en-GB" w:eastAsia="ja-JP"/>
        </w:rPr>
      </w:pPr>
      <w:r w:rsidRPr="00AD0A70">
        <w:rPr>
          <w:lang w:val="en-GB" w:eastAsia="ja-JP"/>
        </w:rPr>
        <w:t>Safety related to fire investigation</w:t>
      </w:r>
    </w:p>
    <w:p w:rsidRPr="00AD0A70" w:rsidR="00CF7824" w:rsidP="00CF7824" w:rsidRDefault="00CF7824" w14:paraId="12794EA6" w14:textId="77777777">
      <w:pPr>
        <w:pStyle w:val="ListParagraph"/>
        <w:numPr>
          <w:ilvl w:val="0"/>
          <w:numId w:val="12"/>
        </w:numPr>
        <w:rPr>
          <w:lang w:val="en-GB" w:eastAsia="ja-JP"/>
        </w:rPr>
      </w:pPr>
      <w:r w:rsidRPr="00AD0A70">
        <w:rPr>
          <w:lang w:val="en-GB" w:eastAsia="ja-JP"/>
        </w:rPr>
        <w:t>Fire science</w:t>
      </w:r>
    </w:p>
    <w:p w:rsidRPr="00AD0A70" w:rsidR="00CF7824" w:rsidP="00CF7824" w:rsidRDefault="00CF7824" w14:paraId="52CAF7DE" w14:textId="77777777">
      <w:pPr>
        <w:pStyle w:val="ListParagraph"/>
        <w:numPr>
          <w:ilvl w:val="0"/>
          <w:numId w:val="12"/>
        </w:numPr>
        <w:rPr>
          <w:lang w:val="en-GB" w:eastAsia="ja-JP"/>
        </w:rPr>
      </w:pPr>
      <w:r w:rsidRPr="00AD0A70">
        <w:rPr>
          <w:lang w:val="en-GB" w:eastAsia="ja-JP"/>
        </w:rPr>
        <w:t>Fire chemistry</w:t>
      </w:r>
    </w:p>
    <w:p w:rsidRPr="00AD0A70" w:rsidR="00CF7824" w:rsidP="00CF7824" w:rsidRDefault="00CF7824" w14:paraId="4F93D704" w14:textId="77777777">
      <w:pPr>
        <w:pStyle w:val="ListParagraph"/>
        <w:numPr>
          <w:ilvl w:val="0"/>
          <w:numId w:val="12"/>
        </w:numPr>
        <w:rPr>
          <w:lang w:val="en-GB" w:eastAsia="ja-JP"/>
        </w:rPr>
      </w:pPr>
      <w:r w:rsidRPr="00AD0A70">
        <w:rPr>
          <w:lang w:val="en-GB" w:eastAsia="ja-JP"/>
        </w:rPr>
        <w:t>Thermodynamics</w:t>
      </w:r>
    </w:p>
    <w:p w:rsidRPr="00AD0A70" w:rsidR="00CF7824" w:rsidP="00CF7824" w:rsidRDefault="00CF7824" w14:paraId="75AC8659" w14:textId="77777777">
      <w:pPr>
        <w:pStyle w:val="ListParagraph"/>
        <w:numPr>
          <w:ilvl w:val="0"/>
          <w:numId w:val="12"/>
        </w:numPr>
        <w:rPr>
          <w:lang w:val="en-GB" w:eastAsia="ja-JP"/>
        </w:rPr>
      </w:pPr>
      <w:r w:rsidRPr="00AD0A70">
        <w:rPr>
          <w:lang w:val="en-GB" w:eastAsia="ja-JP"/>
        </w:rPr>
        <w:t>Thermometry</w:t>
      </w:r>
    </w:p>
    <w:p w:rsidRPr="00AD0A70" w:rsidR="00CF7824" w:rsidP="00CF7824" w:rsidRDefault="00CF7824" w14:paraId="76AAF2A0" w14:textId="77777777">
      <w:pPr>
        <w:pStyle w:val="ListParagraph"/>
        <w:numPr>
          <w:ilvl w:val="0"/>
          <w:numId w:val="12"/>
        </w:numPr>
        <w:rPr>
          <w:lang w:val="en-GB" w:eastAsia="ja-JP"/>
        </w:rPr>
      </w:pPr>
      <w:r w:rsidRPr="00AD0A70">
        <w:rPr>
          <w:lang w:val="en-GB" w:eastAsia="ja-JP"/>
        </w:rPr>
        <w:t>Fire dynamics</w:t>
      </w:r>
    </w:p>
    <w:p w:rsidRPr="00AD0A70" w:rsidR="00CF7824" w:rsidP="00CF7824" w:rsidRDefault="00CF7824" w14:paraId="172ACC5A" w14:textId="77777777">
      <w:pPr>
        <w:pStyle w:val="ListParagraph"/>
        <w:numPr>
          <w:ilvl w:val="0"/>
          <w:numId w:val="12"/>
        </w:numPr>
        <w:rPr>
          <w:lang w:val="en-GB" w:eastAsia="ja-JP"/>
        </w:rPr>
      </w:pPr>
      <w:r w:rsidRPr="00AD0A70">
        <w:rPr>
          <w:lang w:val="en-GB" w:eastAsia="ja-JP"/>
        </w:rPr>
        <w:t>Explosion dynamics</w:t>
      </w:r>
      <w:r>
        <w:rPr>
          <w:lang w:val="en-GB" w:eastAsia="ja-JP"/>
        </w:rPr>
        <w:t>*</w:t>
      </w:r>
    </w:p>
    <w:p w:rsidRPr="00AD0A70" w:rsidR="00CF7824" w:rsidP="00CF7824" w:rsidRDefault="00CF7824" w14:paraId="5FEE65A5" w14:textId="77777777">
      <w:pPr>
        <w:pStyle w:val="ListParagraph"/>
        <w:numPr>
          <w:ilvl w:val="0"/>
          <w:numId w:val="12"/>
        </w:numPr>
        <w:rPr>
          <w:lang w:val="en-GB" w:eastAsia="ja-JP"/>
        </w:rPr>
      </w:pPr>
      <w:r w:rsidRPr="00AD0A70">
        <w:rPr>
          <w:lang w:val="en-GB" w:eastAsia="ja-JP"/>
        </w:rPr>
        <w:t>Computer fire modelling</w:t>
      </w:r>
    </w:p>
    <w:p w:rsidRPr="00AD0A70" w:rsidR="00CF7824" w:rsidP="00CF7824" w:rsidRDefault="00CF7824" w14:paraId="57BE59AF" w14:textId="77777777">
      <w:pPr>
        <w:pStyle w:val="ListParagraph"/>
        <w:numPr>
          <w:ilvl w:val="0"/>
          <w:numId w:val="12"/>
        </w:numPr>
        <w:rPr>
          <w:lang w:val="en-GB" w:eastAsia="ja-JP"/>
        </w:rPr>
      </w:pPr>
      <w:r w:rsidRPr="00AD0A70">
        <w:rPr>
          <w:lang w:val="en-GB" w:eastAsia="ja-JP"/>
        </w:rPr>
        <w:t>Fire investigation process, methodology and technology</w:t>
      </w:r>
    </w:p>
    <w:p w:rsidRPr="00AD0A70" w:rsidR="00CF7824" w:rsidP="00CF7824" w:rsidRDefault="00CF7824" w14:paraId="3C837A3F" w14:textId="77777777">
      <w:pPr>
        <w:pStyle w:val="ListParagraph"/>
        <w:numPr>
          <w:ilvl w:val="0"/>
          <w:numId w:val="12"/>
        </w:numPr>
        <w:rPr>
          <w:lang w:val="en-GB" w:eastAsia="ja-JP"/>
        </w:rPr>
      </w:pPr>
      <w:r w:rsidRPr="00AD0A70">
        <w:rPr>
          <w:lang w:val="en-GB" w:eastAsia="ja-JP"/>
        </w:rPr>
        <w:t>Fire analysis</w:t>
      </w:r>
    </w:p>
    <w:p w:rsidRPr="00AD0A70" w:rsidR="00CF7824" w:rsidP="00CF7824" w:rsidRDefault="00CF7824" w14:paraId="1AF59D67" w14:textId="77777777">
      <w:pPr>
        <w:pStyle w:val="ListParagraph"/>
        <w:numPr>
          <w:ilvl w:val="0"/>
          <w:numId w:val="12"/>
        </w:numPr>
        <w:rPr>
          <w:lang w:val="en-GB" w:eastAsia="ja-JP"/>
        </w:rPr>
      </w:pPr>
      <w:r w:rsidRPr="00AD0A70">
        <w:rPr>
          <w:lang w:val="en-GB" w:eastAsia="ja-JP"/>
        </w:rPr>
        <w:t>Hazardous materials</w:t>
      </w:r>
      <w:r>
        <w:rPr>
          <w:lang w:val="en-GB" w:eastAsia="ja-JP"/>
        </w:rPr>
        <w:t>*</w:t>
      </w:r>
    </w:p>
    <w:p w:rsidRPr="00AD0A70" w:rsidR="00CF7824" w:rsidP="00CF7824" w:rsidRDefault="00CF7824" w14:paraId="46A1A5EE" w14:textId="77777777">
      <w:pPr>
        <w:pStyle w:val="ListParagraph"/>
        <w:numPr>
          <w:ilvl w:val="0"/>
          <w:numId w:val="12"/>
        </w:numPr>
        <w:rPr>
          <w:lang w:val="en-GB" w:eastAsia="ja-JP"/>
        </w:rPr>
      </w:pPr>
      <w:r w:rsidRPr="00AD0A70">
        <w:rPr>
          <w:lang w:val="en-GB" w:eastAsia="ja-JP"/>
        </w:rPr>
        <w:t>Fire protection systems</w:t>
      </w:r>
      <w:r>
        <w:rPr>
          <w:lang w:val="en-GB" w:eastAsia="ja-JP"/>
        </w:rPr>
        <w:t>*</w:t>
      </w:r>
    </w:p>
    <w:p w:rsidRPr="00AD0A70" w:rsidR="00CF7824" w:rsidP="00CF7824" w:rsidRDefault="00CF7824" w14:paraId="42676D0F" w14:textId="77777777">
      <w:pPr>
        <w:pStyle w:val="ListParagraph"/>
        <w:numPr>
          <w:ilvl w:val="0"/>
          <w:numId w:val="12"/>
        </w:numPr>
        <w:rPr>
          <w:lang w:val="en-GB" w:eastAsia="ja-JP"/>
        </w:rPr>
      </w:pPr>
      <w:r w:rsidRPr="00AD0A70">
        <w:rPr>
          <w:lang w:val="en-GB" w:eastAsia="ja-JP"/>
        </w:rPr>
        <w:t>Evidence documentation, collection, and preservation</w:t>
      </w:r>
    </w:p>
    <w:p w:rsidRPr="00AD0A70" w:rsidR="00CF7824" w:rsidP="00CF7824" w:rsidRDefault="00CF7824" w14:paraId="14CFAAE0" w14:textId="77777777">
      <w:pPr>
        <w:pStyle w:val="ListParagraph"/>
        <w:numPr>
          <w:ilvl w:val="0"/>
          <w:numId w:val="12"/>
        </w:numPr>
        <w:rPr>
          <w:lang w:val="en-GB" w:eastAsia="ja-JP"/>
        </w:rPr>
      </w:pPr>
      <w:r w:rsidRPr="00AD0A70">
        <w:rPr>
          <w:lang w:val="en-GB" w:eastAsia="ja-JP"/>
        </w:rPr>
        <w:t>Electricity and electrical systems</w:t>
      </w:r>
    </w:p>
    <w:p w:rsidRPr="00AD0A70" w:rsidR="00CF7824" w:rsidP="00CF7824" w:rsidRDefault="00CF7824" w14:paraId="7DDAFF5B" w14:textId="77777777">
      <w:pPr>
        <w:pStyle w:val="ListParagraph"/>
        <w:numPr>
          <w:ilvl w:val="0"/>
          <w:numId w:val="12"/>
        </w:numPr>
        <w:rPr>
          <w:lang w:val="en-GB" w:eastAsia="ja-JP"/>
        </w:rPr>
      </w:pPr>
      <w:r w:rsidRPr="00AD0A70">
        <w:rPr>
          <w:lang w:val="en-GB" w:eastAsia="ja-JP"/>
        </w:rPr>
        <w:t>Presenting of evidence in judicia</w:t>
      </w:r>
      <w:r>
        <w:rPr>
          <w:lang w:val="en-GB" w:eastAsia="ja-JP"/>
        </w:rPr>
        <w:t>l settings as an expert witness</w:t>
      </w:r>
    </w:p>
    <w:p w:rsidRPr="00AD0A70" w:rsidR="00CF7824" w:rsidP="00CF7824" w:rsidRDefault="00CF7824" w14:paraId="558337CC" w14:textId="77777777">
      <w:pPr>
        <w:pStyle w:val="ListParagraph"/>
        <w:numPr>
          <w:ilvl w:val="0"/>
          <w:numId w:val="12"/>
        </w:numPr>
        <w:rPr>
          <w:lang w:val="en-GB" w:eastAsia="ja-JP"/>
        </w:rPr>
      </w:pPr>
      <w:r w:rsidRPr="00AD0A70">
        <w:rPr>
          <w:lang w:val="en-GB" w:eastAsia="ja-JP"/>
        </w:rPr>
        <w:t>Research relating to fire cause and emerging fire trends</w:t>
      </w:r>
    </w:p>
    <w:p w:rsidRPr="00AD0A70" w:rsidR="00CF7824" w:rsidP="00CF7824" w:rsidRDefault="00CF7824" w14:paraId="26008320" w14:textId="77777777">
      <w:pPr>
        <w:pStyle w:val="ListParagraph"/>
        <w:numPr>
          <w:ilvl w:val="0"/>
          <w:numId w:val="12"/>
        </w:numPr>
        <w:rPr>
          <w:lang w:val="en-GB" w:eastAsia="ja-JP"/>
        </w:rPr>
      </w:pPr>
      <w:r w:rsidRPr="00AD0A70">
        <w:rPr>
          <w:lang w:val="en-GB" w:eastAsia="ja-JP"/>
        </w:rPr>
        <w:t>Wildfire fire behaviour</w:t>
      </w:r>
      <w:r>
        <w:rPr>
          <w:lang w:val="en-GB" w:eastAsia="ja-JP"/>
        </w:rPr>
        <w:t>*</w:t>
      </w:r>
    </w:p>
    <w:p w:rsidRPr="00AD0A70" w:rsidR="00CF7824" w:rsidP="00CF7824" w:rsidRDefault="00CF7824" w14:paraId="7CB31952" w14:textId="77777777">
      <w:pPr>
        <w:pStyle w:val="ListParagraph"/>
        <w:numPr>
          <w:ilvl w:val="0"/>
          <w:numId w:val="12"/>
        </w:numPr>
        <w:rPr>
          <w:lang w:val="en-GB" w:eastAsia="ja-JP"/>
        </w:rPr>
      </w:pPr>
      <w:r w:rsidRPr="00AD0A70">
        <w:rPr>
          <w:lang w:val="en-GB" w:eastAsia="ja-JP"/>
        </w:rPr>
        <w:t>Arson</w:t>
      </w:r>
      <w:r>
        <w:rPr>
          <w:lang w:val="en-GB" w:eastAsia="ja-JP"/>
        </w:rPr>
        <w:t>.</w:t>
      </w:r>
    </w:p>
    <w:p w:rsidR="00036C74" w:rsidP="00036C74" w:rsidRDefault="00036C74" w14:paraId="126FA8C0" w14:textId="77777777">
      <w:pPr>
        <w:pStyle w:val="Heading3"/>
      </w:pPr>
      <w:r w:rsidRPr="00036C74">
        <w:t>Related professional standards</w:t>
      </w:r>
    </w:p>
    <w:p w:rsidRPr="00036C74" w:rsidR="00036C74" w:rsidP="00036C74" w:rsidRDefault="00036C74" w14:paraId="60A98D83" w14:textId="63CBD057">
      <w:pPr>
        <w:pStyle w:val="ListParagraph"/>
        <w:numPr>
          <w:ilvl w:val="0"/>
          <w:numId w:val="8"/>
        </w:numPr>
        <w:rPr>
          <w:lang w:val="en-GB" w:eastAsia="ja-JP"/>
        </w:rPr>
      </w:pPr>
      <w:r w:rsidRPr="4E863862" w:rsidR="00036C74">
        <w:rPr>
          <w:lang w:val="en-GB" w:eastAsia="ja-JP"/>
        </w:rPr>
        <w:t>Code of Ethics</w:t>
      </w:r>
      <w:r w:rsidRPr="4E863862" w:rsidR="00036C74">
        <w:rPr>
          <w:lang w:val="en-GB" w:eastAsia="ja-JP"/>
        </w:rPr>
        <w:t>.</w:t>
      </w:r>
    </w:p>
    <w:p w:rsidRPr="00BC76FB" w:rsidR="00036C74" w:rsidP="00BC76FB" w:rsidRDefault="00036C74" w14:paraId="63A6CA88" w14:textId="6F4C977E">
      <w:pPr>
        <w:pStyle w:val="ListParagraph"/>
        <w:numPr>
          <w:ilvl w:val="0"/>
          <w:numId w:val="8"/>
        </w:numPr>
        <w:rPr>
          <w:lang w:val="en-GB" w:eastAsia="ja-JP"/>
        </w:rPr>
      </w:pPr>
      <w:r w:rsidRPr="4E863862" w:rsidR="00036C74">
        <w:rPr>
          <w:lang w:val="en-GB" w:eastAsia="ja-JP"/>
        </w:rPr>
        <w:t xml:space="preserve">Professional Standard: </w:t>
      </w:r>
      <w:r w:rsidRPr="4E863862" w:rsidR="00A44762">
        <w:rPr>
          <w:lang w:val="en-GB" w:eastAsia="ja-JP"/>
        </w:rPr>
        <w:t xml:space="preserve">Certified </w:t>
      </w:r>
      <w:r w:rsidRPr="4E863862" w:rsidR="00C808B1">
        <w:rPr>
          <w:lang w:val="en-GB" w:eastAsia="ja-JP"/>
        </w:rPr>
        <w:t>Fire Investigator</w:t>
      </w:r>
      <w:r w:rsidRPr="4E863862" w:rsidR="00B11D4A">
        <w:rPr>
          <w:lang w:val="en-GB" w:eastAsia="ja-JP"/>
        </w:rPr>
        <w:t xml:space="preserve"> </w:t>
      </w:r>
      <w:r w:rsidRPr="4E863862" w:rsidR="006D392C">
        <w:rPr>
          <w:lang w:val="en-GB" w:eastAsia="ja-JP"/>
        </w:rPr>
        <w:t>Capabil</w:t>
      </w:r>
      <w:r w:rsidRPr="4E863862" w:rsidR="00316E40">
        <w:rPr>
          <w:lang w:val="en-GB" w:eastAsia="ja-JP"/>
        </w:rPr>
        <w:t>ities</w:t>
      </w:r>
      <w:r w:rsidRPr="4E863862" w:rsidR="00036C74">
        <w:rPr>
          <w:lang w:val="en-GB" w:eastAsia="ja-JP"/>
        </w:rPr>
        <w:t>.</w:t>
      </w:r>
    </w:p>
    <w:p w:rsidR="00036C74" w:rsidP="00036C74" w:rsidRDefault="00B11D4A" w14:paraId="10B4AB7C" w14:textId="77777777">
      <w:pPr>
        <w:pStyle w:val="ListParagraph"/>
        <w:numPr>
          <w:ilvl w:val="0"/>
          <w:numId w:val="8"/>
        </w:numPr>
        <w:rPr>
          <w:lang w:val="en-GB" w:eastAsia="ja-JP"/>
        </w:rPr>
      </w:pPr>
      <w:r>
        <w:rPr>
          <w:lang w:val="en-GB" w:eastAsia="ja-JP"/>
        </w:rPr>
        <w:t xml:space="preserve">Professional Standard: </w:t>
      </w:r>
      <w:r w:rsidRPr="00036C74" w:rsidR="00036C74">
        <w:rPr>
          <w:lang w:val="en-GB" w:eastAsia="ja-JP"/>
        </w:rPr>
        <w:t>Continuin</w:t>
      </w:r>
      <w:r w:rsidR="00CE6A1E">
        <w:rPr>
          <w:lang w:val="en-GB" w:eastAsia="ja-JP"/>
        </w:rPr>
        <w:t>g Professional Development (201</w:t>
      </w:r>
      <w:r w:rsidR="002872D2">
        <w:rPr>
          <w:lang w:val="en-GB" w:eastAsia="ja-JP"/>
        </w:rPr>
        <w:t>8</w:t>
      </w:r>
      <w:r w:rsidRPr="00036C74" w:rsidR="00036C74">
        <w:rPr>
          <w:lang w:val="en-GB" w:eastAsia="ja-JP"/>
        </w:rPr>
        <w:t>).</w:t>
      </w:r>
    </w:p>
    <w:p w:rsidR="00592C02" w:rsidP="00592C02" w:rsidRDefault="00592C02" w14:paraId="50DDE62E" w14:textId="77777777">
      <w:pPr>
        <w:rPr>
          <w:lang w:val="en-GB" w:eastAsia="ja-JP"/>
        </w:rPr>
      </w:pPr>
    </w:p>
    <w:p w:rsidRPr="00592C02" w:rsidR="00592C02" w:rsidP="00592C02" w:rsidRDefault="00592C02" w14:paraId="250EC520" w14:textId="64028CBC">
      <w:pPr>
        <w:rPr>
          <w:lang w:val="en-GB" w:eastAsia="ja-JP"/>
        </w:rPr>
      </w:pPr>
      <w:r w:rsidRPr="00592C02">
        <w:rPr>
          <w:lang w:val="en-GB" w:eastAsia="ja-JP"/>
        </w:rPr>
        <w:t>Other sources of professional and ethical guidance for fire investigators include:</w:t>
      </w:r>
    </w:p>
    <w:p w:rsidRPr="00592C02" w:rsidR="00592C02" w:rsidP="00592C02" w:rsidRDefault="00592C02" w14:paraId="42AD163F" w14:textId="77777777">
      <w:pPr>
        <w:rPr>
          <w:lang w:val="en-GB" w:eastAsia="ja-JP"/>
        </w:rPr>
      </w:pPr>
    </w:p>
    <w:p w:rsidRPr="00592C02" w:rsidR="00592C02" w:rsidP="00592C02" w:rsidRDefault="00592C02" w14:paraId="053B3C84" w14:textId="6F465011">
      <w:pPr>
        <w:pStyle w:val="ListParagraph"/>
        <w:numPr>
          <w:ilvl w:val="0"/>
          <w:numId w:val="8"/>
        </w:numPr>
        <w:rPr>
          <w:lang w:val="en-GB" w:eastAsia="ja-JP"/>
        </w:rPr>
      </w:pPr>
      <w:r w:rsidRPr="00592C02">
        <w:rPr>
          <w:lang w:val="en-GB" w:eastAsia="ja-JP"/>
        </w:rPr>
        <w:t>Code of Practice for Investigators of Fires and Explosions for the Criminal Justice Systems in the UK (Institute of Fire Engineers, 2017)</w:t>
      </w:r>
    </w:p>
    <w:p w:rsidR="006D392C" w:rsidP="00592C02" w:rsidRDefault="00592C02" w14:paraId="7E2372FC" w14:textId="331C2606">
      <w:pPr>
        <w:pStyle w:val="ListParagraph"/>
        <w:numPr>
          <w:ilvl w:val="0"/>
          <w:numId w:val="8"/>
        </w:numPr>
        <w:rPr>
          <w:lang w:val="en-GB" w:eastAsia="ja-JP"/>
        </w:rPr>
      </w:pPr>
      <w:r w:rsidRPr="00592C02">
        <w:rPr>
          <w:lang w:val="en-GB" w:eastAsia="ja-JP"/>
        </w:rPr>
        <w:t>NFPA 921 Guide for Fire and Explosion Investigations (2017)</w:t>
      </w:r>
    </w:p>
    <w:p w:rsidRPr="006D392C" w:rsidR="00592C02" w:rsidP="00113541" w:rsidRDefault="00592C02" w14:paraId="378C72C5" w14:textId="77777777">
      <w:pPr>
        <w:rPr>
          <w:lang w:val="en-GB" w:eastAsia="ja-JP"/>
        </w:rPr>
      </w:pPr>
    </w:p>
    <w:sectPr w:rsidRPr="006D392C" w:rsidR="00592C02" w:rsidSect="00262D4C">
      <w:headerReference w:type="default" r:id="rId10"/>
      <w:footerReference w:type="even" r:id="rId11"/>
      <w:footerReference w:type="default" r:id="rId12"/>
      <w:pgSz w:w="11900" w:h="16840" w:orient="portrait"/>
      <w:pgMar w:top="1134" w:right="1247" w:bottom="1134"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539" w:rsidP="00AD588C" w:rsidRDefault="00C02539" w14:paraId="6B86B060" w14:textId="77777777">
      <w:r>
        <w:separator/>
      </w:r>
    </w:p>
  </w:endnote>
  <w:endnote w:type="continuationSeparator" w:id="0">
    <w:p w:rsidR="00C02539" w:rsidP="00AD588C" w:rsidRDefault="00C02539" w14:paraId="2ECA16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C" w:rsidP="001846EC" w:rsidRDefault="00AD588C" w14:paraId="7E85866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588C" w:rsidP="00AD588C" w:rsidRDefault="00AD588C" w14:paraId="638121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05BF" w:rsidR="00AD588C" w:rsidP="001846EC" w:rsidRDefault="00AD588C" w14:paraId="617A2820" w14:textId="637F9732">
    <w:pPr>
      <w:pStyle w:val="Footer"/>
      <w:framePr w:wrap="around" w:hAnchor="margin" w:vAnchor="text"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5B2588">
      <w:rPr>
        <w:rStyle w:val="PageNumber"/>
        <w:noProof/>
        <w:color w:val="0033A0"/>
        <w:sz w:val="18"/>
        <w:szCs w:val="18"/>
      </w:rPr>
      <w:t>1</w:t>
    </w:r>
    <w:r w:rsidRPr="001B05BF">
      <w:rPr>
        <w:rStyle w:val="PageNumber"/>
        <w:color w:val="0033A0"/>
        <w:sz w:val="18"/>
        <w:szCs w:val="18"/>
      </w:rPr>
      <w:fldChar w:fldCharType="end"/>
    </w:r>
  </w:p>
  <w:p w:rsidR="006D392C" w:rsidP="006D392C" w:rsidRDefault="007C746B" w14:paraId="26623376" w14:textId="4525A39E">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Pr>
        <w:color w:val="0054A6"/>
        <w:spacing w:val="1"/>
        <w:sz w:val="18"/>
      </w:rPr>
      <w:t xml:space="preserve">Certified </w:t>
    </w:r>
    <w:r w:rsidR="00C807A9">
      <w:rPr>
        <w:color w:val="0054A6"/>
        <w:spacing w:val="1"/>
        <w:sz w:val="18"/>
      </w:rPr>
      <w:t>Fire Investigator</w:t>
    </w:r>
    <w:r>
      <w:rPr>
        <w:color w:val="0054A6"/>
        <w:spacing w:val="35"/>
        <w:sz w:val="18"/>
      </w:rPr>
      <w:t xml:space="preserve"> </w:t>
    </w:r>
    <w:r>
      <w:rPr>
        <w:color w:val="0054A6"/>
        <w:spacing w:val="3"/>
        <w:sz w:val="18"/>
      </w:rPr>
      <w:t>Requirements</w:t>
    </w:r>
  </w:p>
  <w:p w:rsidRPr="001B05BF" w:rsidR="001B05BF" w:rsidP="006D392C" w:rsidRDefault="001B05BF" w14:paraId="205CF58F" w14:textId="77777777">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539" w:rsidP="00AD588C" w:rsidRDefault="00C02539" w14:paraId="249B64E4" w14:textId="77777777">
      <w:r>
        <w:separator/>
      </w:r>
    </w:p>
  </w:footnote>
  <w:footnote w:type="continuationSeparator" w:id="0">
    <w:p w:rsidR="00C02539" w:rsidP="00AD588C" w:rsidRDefault="00C02539" w14:paraId="061627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D588C" w:rsidP="00262D4C" w:rsidRDefault="00AD588C" w14:paraId="2FFF4F34" w14:textId="77777777">
    <w:pPr>
      <w:pStyle w:val="Header"/>
      <w:tabs>
        <w:tab w:val="clear" w:pos="4320"/>
        <w:tab w:val="clear" w:pos="8640"/>
        <w:tab w:val="right" w:pos="9406"/>
      </w:tabs>
    </w:pPr>
    <w:r>
      <w:rPr>
        <w:noProof/>
        <w:lang w:eastAsia="en-AU"/>
      </w:rPr>
      <w:drawing>
        <wp:anchor distT="0" distB="0" distL="114300" distR="114300" simplePos="0" relativeHeight="251658240" behindDoc="1" locked="0" layoutInCell="1" allowOverlap="1" wp14:anchorId="1B699B5F" wp14:editId="3D7A58B0">
          <wp:simplePos x="0" y="0"/>
          <wp:positionH relativeFrom="page">
            <wp:align>right</wp:align>
          </wp:positionH>
          <wp:positionV relativeFrom="paragraph">
            <wp:posOffset>-450850</wp:posOffset>
          </wp:positionV>
          <wp:extent cx="7553325" cy="957580"/>
          <wp:effectExtent l="0" t="0" r="9525" b="0"/>
          <wp:wrapTight wrapText="bothSides">
            <wp:wrapPolygon edited="0">
              <wp:start x="0" y="0"/>
              <wp:lineTo x="0" y="21056"/>
              <wp:lineTo x="21573" y="21056"/>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7553325" cy="957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D4C">
      <w:tab/>
    </w:r>
  </w:p>
  <w:p w:rsidR="00262D4C" w:rsidP="00262D4C" w:rsidRDefault="00262D4C" w14:paraId="708E38C8" w14:textId="77777777">
    <w:pPr>
      <w:pStyle w:val="Header"/>
      <w:tabs>
        <w:tab w:val="clear" w:pos="4320"/>
        <w:tab w:val="clear" w:pos="8640"/>
        <w:tab w:val="right" w:pos="9406"/>
      </w:tabs>
    </w:pPr>
  </w:p>
  <w:p w:rsidR="00262D4C" w:rsidP="00262D4C" w:rsidRDefault="00262D4C" w14:paraId="1B254805" w14:textId="77777777">
    <w:pPr>
      <w:pStyle w:val="Header"/>
      <w:tabs>
        <w:tab w:val="clear" w:pos="4320"/>
        <w:tab w:val="clear" w:pos="8640"/>
        <w:tab w:val="right" w:pos="94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hint="default" w:ascii="Calibri" w:hAnsi="Calibri"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hint="default" w:ascii="Calibri" w:hAnsi="Calibri"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hint="default" w:ascii="Calibri" w:hAnsi="Calibri"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172F53"/>
    <w:multiLevelType w:val="hybridMultilevel"/>
    <w:tmpl w:val="5E7C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C1BB2"/>
    <w:multiLevelType w:val="hybridMultilevel"/>
    <w:tmpl w:val="5EA8BE32"/>
    <w:lvl w:ilvl="0" w:tplc="2A02FF6E">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2C5D8F"/>
    <w:multiLevelType w:val="hybridMultilevel"/>
    <w:tmpl w:val="0B762090"/>
    <w:lvl w:ilvl="0" w:tplc="04090001">
      <w:start w:val="1"/>
      <w:numFmt w:val="bullet"/>
      <w:lvlText w:val=""/>
      <w:lvlJc w:val="left"/>
      <w:pPr>
        <w:ind w:left="947" w:hanging="360"/>
      </w:pPr>
      <w:rPr>
        <w:rFonts w:hint="default" w:ascii="Symbol" w:hAnsi="Symbol"/>
      </w:rPr>
    </w:lvl>
    <w:lvl w:ilvl="1" w:tplc="04090003" w:tentative="1">
      <w:start w:val="1"/>
      <w:numFmt w:val="bullet"/>
      <w:lvlText w:val="o"/>
      <w:lvlJc w:val="left"/>
      <w:pPr>
        <w:ind w:left="1667" w:hanging="360"/>
      </w:pPr>
      <w:rPr>
        <w:rFonts w:hint="default" w:ascii="Courier New" w:hAnsi="Courier New"/>
      </w:rPr>
    </w:lvl>
    <w:lvl w:ilvl="2" w:tplc="04090005" w:tentative="1">
      <w:start w:val="1"/>
      <w:numFmt w:val="bullet"/>
      <w:lvlText w:val=""/>
      <w:lvlJc w:val="left"/>
      <w:pPr>
        <w:ind w:left="2387" w:hanging="360"/>
      </w:pPr>
      <w:rPr>
        <w:rFonts w:hint="default" w:ascii="Wingdings" w:hAnsi="Wingdings"/>
      </w:rPr>
    </w:lvl>
    <w:lvl w:ilvl="3" w:tplc="04090001" w:tentative="1">
      <w:start w:val="1"/>
      <w:numFmt w:val="bullet"/>
      <w:lvlText w:val=""/>
      <w:lvlJc w:val="left"/>
      <w:pPr>
        <w:ind w:left="3107" w:hanging="360"/>
      </w:pPr>
      <w:rPr>
        <w:rFonts w:hint="default" w:ascii="Symbol" w:hAnsi="Symbol"/>
      </w:rPr>
    </w:lvl>
    <w:lvl w:ilvl="4" w:tplc="04090003" w:tentative="1">
      <w:start w:val="1"/>
      <w:numFmt w:val="bullet"/>
      <w:lvlText w:val="o"/>
      <w:lvlJc w:val="left"/>
      <w:pPr>
        <w:ind w:left="3827" w:hanging="360"/>
      </w:pPr>
      <w:rPr>
        <w:rFonts w:hint="default" w:ascii="Courier New" w:hAnsi="Courier New"/>
      </w:rPr>
    </w:lvl>
    <w:lvl w:ilvl="5" w:tplc="04090005" w:tentative="1">
      <w:start w:val="1"/>
      <w:numFmt w:val="bullet"/>
      <w:lvlText w:val=""/>
      <w:lvlJc w:val="left"/>
      <w:pPr>
        <w:ind w:left="4547" w:hanging="360"/>
      </w:pPr>
      <w:rPr>
        <w:rFonts w:hint="default" w:ascii="Wingdings" w:hAnsi="Wingdings"/>
      </w:rPr>
    </w:lvl>
    <w:lvl w:ilvl="6" w:tplc="04090001" w:tentative="1">
      <w:start w:val="1"/>
      <w:numFmt w:val="bullet"/>
      <w:lvlText w:val=""/>
      <w:lvlJc w:val="left"/>
      <w:pPr>
        <w:ind w:left="5267" w:hanging="360"/>
      </w:pPr>
      <w:rPr>
        <w:rFonts w:hint="default" w:ascii="Symbol" w:hAnsi="Symbol"/>
      </w:rPr>
    </w:lvl>
    <w:lvl w:ilvl="7" w:tplc="04090003" w:tentative="1">
      <w:start w:val="1"/>
      <w:numFmt w:val="bullet"/>
      <w:lvlText w:val="o"/>
      <w:lvlJc w:val="left"/>
      <w:pPr>
        <w:ind w:left="5987" w:hanging="360"/>
      </w:pPr>
      <w:rPr>
        <w:rFonts w:hint="default" w:ascii="Courier New" w:hAnsi="Courier New"/>
      </w:rPr>
    </w:lvl>
    <w:lvl w:ilvl="8" w:tplc="04090005" w:tentative="1">
      <w:start w:val="1"/>
      <w:numFmt w:val="bullet"/>
      <w:lvlText w:val=""/>
      <w:lvlJc w:val="left"/>
      <w:pPr>
        <w:ind w:left="6707" w:hanging="360"/>
      </w:pPr>
      <w:rPr>
        <w:rFonts w:hint="default" w:ascii="Wingdings" w:hAnsi="Wingdings"/>
      </w:rPr>
    </w:lvl>
  </w:abstractNum>
  <w:abstractNum w:abstractNumId="9" w15:restartNumberingAfterBreak="0">
    <w:nsid w:val="6E061A3F"/>
    <w:multiLevelType w:val="hybridMultilevel"/>
    <w:tmpl w:val="3718ED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139300160">
    <w:abstractNumId w:val="10"/>
  </w:num>
  <w:num w:numId="2" w16cid:durableId="494807569">
    <w:abstractNumId w:val="8"/>
  </w:num>
  <w:num w:numId="3" w16cid:durableId="1298220202">
    <w:abstractNumId w:val="6"/>
  </w:num>
  <w:num w:numId="4" w16cid:durableId="699014143">
    <w:abstractNumId w:val="3"/>
  </w:num>
  <w:num w:numId="5" w16cid:durableId="1854027986">
    <w:abstractNumId w:val="4"/>
  </w:num>
  <w:num w:numId="6" w16cid:durableId="23136608">
    <w:abstractNumId w:val="2"/>
  </w:num>
  <w:num w:numId="7" w16cid:durableId="1437750859">
    <w:abstractNumId w:val="0"/>
  </w:num>
  <w:num w:numId="8" w16cid:durableId="1847481268">
    <w:abstractNumId w:val="1"/>
  </w:num>
  <w:num w:numId="9" w16cid:durableId="1485201249">
    <w:abstractNumId w:val="5"/>
  </w:num>
  <w:num w:numId="10" w16cid:durableId="1296721580">
    <w:abstractNumId w:val="2"/>
  </w:num>
  <w:num w:numId="11" w16cid:durableId="1067991545">
    <w:abstractNumId w:val="9"/>
  </w:num>
  <w:num w:numId="12" w16cid:durableId="1080638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dirty"/>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19"/>
    <w:rsid w:val="0000077A"/>
    <w:rsid w:val="00015B16"/>
    <w:rsid w:val="000367A5"/>
    <w:rsid w:val="00036C74"/>
    <w:rsid w:val="000804E5"/>
    <w:rsid w:val="000837F4"/>
    <w:rsid w:val="000A6D65"/>
    <w:rsid w:val="000D0DB5"/>
    <w:rsid w:val="000F059B"/>
    <w:rsid w:val="000F0F4A"/>
    <w:rsid w:val="000F419A"/>
    <w:rsid w:val="00113541"/>
    <w:rsid w:val="00167843"/>
    <w:rsid w:val="001B05BF"/>
    <w:rsid w:val="001C1105"/>
    <w:rsid w:val="001F6845"/>
    <w:rsid w:val="00227D7B"/>
    <w:rsid w:val="00262D4C"/>
    <w:rsid w:val="0027422C"/>
    <w:rsid w:val="002872D2"/>
    <w:rsid w:val="0029318B"/>
    <w:rsid w:val="00316E40"/>
    <w:rsid w:val="00322A44"/>
    <w:rsid w:val="00335404"/>
    <w:rsid w:val="00370B6D"/>
    <w:rsid w:val="003C497D"/>
    <w:rsid w:val="003F40FA"/>
    <w:rsid w:val="004318FB"/>
    <w:rsid w:val="004C09BB"/>
    <w:rsid w:val="004D704E"/>
    <w:rsid w:val="004E1FF2"/>
    <w:rsid w:val="00502297"/>
    <w:rsid w:val="00592C02"/>
    <w:rsid w:val="00596F80"/>
    <w:rsid w:val="005B2588"/>
    <w:rsid w:val="005E4D24"/>
    <w:rsid w:val="006243DB"/>
    <w:rsid w:val="00652444"/>
    <w:rsid w:val="00666DBF"/>
    <w:rsid w:val="0067188B"/>
    <w:rsid w:val="00687D75"/>
    <w:rsid w:val="00695DAE"/>
    <w:rsid w:val="006B5152"/>
    <w:rsid w:val="006C6919"/>
    <w:rsid w:val="006D392C"/>
    <w:rsid w:val="006E5419"/>
    <w:rsid w:val="00700B17"/>
    <w:rsid w:val="00726A38"/>
    <w:rsid w:val="007431AC"/>
    <w:rsid w:val="007C49D6"/>
    <w:rsid w:val="007C746B"/>
    <w:rsid w:val="008A15E0"/>
    <w:rsid w:val="008A2427"/>
    <w:rsid w:val="008F20B2"/>
    <w:rsid w:val="008F4D43"/>
    <w:rsid w:val="00914F37"/>
    <w:rsid w:val="00952C6B"/>
    <w:rsid w:val="009A73FA"/>
    <w:rsid w:val="00A0011F"/>
    <w:rsid w:val="00A009AB"/>
    <w:rsid w:val="00A224B7"/>
    <w:rsid w:val="00A44762"/>
    <w:rsid w:val="00A65BCC"/>
    <w:rsid w:val="00A97519"/>
    <w:rsid w:val="00AA19BE"/>
    <w:rsid w:val="00AB5607"/>
    <w:rsid w:val="00AD588C"/>
    <w:rsid w:val="00AF78A2"/>
    <w:rsid w:val="00B11D4A"/>
    <w:rsid w:val="00B70FC8"/>
    <w:rsid w:val="00B8088D"/>
    <w:rsid w:val="00B82174"/>
    <w:rsid w:val="00BB6603"/>
    <w:rsid w:val="00BC76FB"/>
    <w:rsid w:val="00BD5305"/>
    <w:rsid w:val="00BE2AEF"/>
    <w:rsid w:val="00C02539"/>
    <w:rsid w:val="00C05888"/>
    <w:rsid w:val="00C119B2"/>
    <w:rsid w:val="00C807A9"/>
    <w:rsid w:val="00C808B1"/>
    <w:rsid w:val="00CE6A1E"/>
    <w:rsid w:val="00CF7824"/>
    <w:rsid w:val="00D91049"/>
    <w:rsid w:val="00D92538"/>
    <w:rsid w:val="00E11E16"/>
    <w:rsid w:val="00E42E1B"/>
    <w:rsid w:val="00E43D15"/>
    <w:rsid w:val="00E85782"/>
    <w:rsid w:val="00E952DA"/>
    <w:rsid w:val="00EE3C5B"/>
    <w:rsid w:val="00F0730C"/>
    <w:rsid w:val="00F242C9"/>
    <w:rsid w:val="00F64236"/>
    <w:rsid w:val="00FD6336"/>
    <w:rsid w:val="1818A31D"/>
    <w:rsid w:val="3AEB840D"/>
    <w:rsid w:val="4E863862"/>
    <w:rsid w:val="54DD0909"/>
    <w:rsid w:val="7D4F6B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B6BAB05"/>
  <w14:defaultImageDpi w14:val="300"/>
  <w15:docId w15:val="{EC854D48-0616-4047-B2F5-E6135B8B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color="1F497D" w:themeColor="text2" w:sz="18" w:space="8"/>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color="auto" w:sz="0" w:space="0"/>
      </w:pBdr>
      <w:spacing w:before="200" w:after="12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styleId="HeaderChar" w:customStyle="1">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styleId="FooterChar" w:customStyle="1">
    <w:name w:val="Footer Char"/>
    <w:basedOn w:val="DefaultParagraphFont"/>
    <w:link w:val="Footer"/>
    <w:uiPriority w:val="99"/>
    <w:rsid w:val="00AD588C"/>
    <w:rPr>
      <w:sz w:val="24"/>
      <w:szCs w:val="24"/>
      <w:lang w:eastAsia="en-US"/>
    </w:rPr>
  </w:style>
  <w:style w:type="character" w:styleId="Heading2Char" w:customStyle="1">
    <w:name w:val="Heading 2 Char"/>
    <w:aliases w:val="Heading 2 - secondary Char"/>
    <w:basedOn w:val="DefaultParagraphFont"/>
    <w:link w:val="Heading2"/>
    <w:uiPriority w:val="99"/>
    <w:rsid w:val="001B05BF"/>
    <w:rPr>
      <w:rFonts w:cs="MyriadPro-Bold" w:asciiTheme="majorHAnsi" w:hAnsiTheme="majorHAnsi"/>
      <w:b/>
      <w:bCs/>
      <w:color w:val="0033A0"/>
      <w:sz w:val="28"/>
      <w:szCs w:val="28"/>
      <w:lang w:val="en-GB"/>
    </w:rPr>
  </w:style>
  <w:style w:type="paragraph" w:styleId="BodyText1" w:customStyle="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styleId="Heading" w:customStyle="1">
    <w:name w:val="Heading"/>
    <w:basedOn w:val="BodyText1"/>
    <w:uiPriority w:val="99"/>
    <w:rsid w:val="00AD588C"/>
    <w:pPr>
      <w:pBdr>
        <w:bottom w:val="single" w:color="auto" w:sz="16" w:space="8"/>
      </w:pBdr>
      <w:spacing w:after="340" w:line="480" w:lineRule="atLeast"/>
    </w:pPr>
    <w:rPr>
      <w:rFonts w:ascii="MyriadPro-Bold" w:hAnsi="MyriadPro-Bold" w:cs="MyriadPro-Bold"/>
      <w:b/>
      <w:bCs/>
      <w:color w:val="003FFF"/>
      <w:sz w:val="44"/>
      <w:szCs w:val="44"/>
    </w:rPr>
  </w:style>
  <w:style w:type="paragraph" w:styleId="Numberedlist" w:customStyle="1">
    <w:name w:val="Numbered list"/>
    <w:basedOn w:val="BodyText1"/>
    <w:uiPriority w:val="99"/>
    <w:rsid w:val="00AD588C"/>
    <w:pPr>
      <w:spacing w:before="0"/>
      <w:ind w:left="454" w:hanging="283"/>
    </w:pPr>
  </w:style>
  <w:style w:type="paragraph" w:styleId="Bulletpoints" w:customStyle="1">
    <w:name w:val="Bullet points"/>
    <w:basedOn w:val="BodyText1"/>
    <w:uiPriority w:val="99"/>
    <w:rsid w:val="00AD588C"/>
    <w:pPr>
      <w:spacing w:before="0"/>
      <w:ind w:left="454" w:hanging="227"/>
    </w:pPr>
  </w:style>
  <w:style w:type="character" w:styleId="Bodyitalics" w:customStyle="1">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styleId="QuoteChar" w:customStyle="1">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styleId="Heading1Char" w:customStyle="1">
    <w:name w:val="Heading 1 Char"/>
    <w:basedOn w:val="DefaultParagraphFont"/>
    <w:link w:val="Heading1"/>
    <w:uiPriority w:val="9"/>
    <w:rsid w:val="001B05BF"/>
    <w:rPr>
      <w:rFonts w:cs="MyriadPro-Bold" w:asciiTheme="majorHAnsi" w:hAnsiTheme="majorHAnsi"/>
      <w:b/>
      <w:bCs/>
      <w:color w:val="0033A0"/>
      <w:sz w:val="44"/>
      <w:szCs w:val="44"/>
      <w:lang w:val="en-GB"/>
    </w:rPr>
  </w:style>
  <w:style w:type="character" w:styleId="Heading3Char" w:customStyle="1">
    <w:name w:val="Heading 3 Char"/>
    <w:basedOn w:val="DefaultParagraphFont"/>
    <w:link w:val="Heading3"/>
    <w:uiPriority w:val="9"/>
    <w:rsid w:val="001B05BF"/>
    <w:rPr>
      <w:rFonts w:cs="MyriadPro-Bold" w:asciiTheme="majorHAnsi" w:hAnsiTheme="majorHAnsi"/>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styleId="TableParagraph" w:customStyle="1">
    <w:name w:val="Table Paragraph"/>
    <w:basedOn w:val="Normal"/>
    <w:uiPriority w:val="1"/>
    <w:qFormat/>
    <w:rsid w:val="00036C74"/>
    <w:pPr>
      <w:widowControl w:val="0"/>
    </w:pPr>
    <w:rPr>
      <w:rFonts w:asciiTheme="minorHAnsi" w:hAnsiTheme="minorHAnsi" w:eastAsiaTheme="minorHAnsi" w:cstheme="minorBidi"/>
      <w:szCs w:val="22"/>
      <w:lang w:val="en-US"/>
    </w:rPr>
  </w:style>
  <w:style w:type="table" w:styleId="TableGrid">
    <w:name w:val="Table Grid"/>
    <w:basedOn w:val="TableNormal"/>
    <w:uiPriority w:val="59"/>
    <w:rsid w:val="00BC76FB"/>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538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7940f0e41bce49540c8cf8801e2c05e2">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f69ed0179c332849ca44e7f0ee5327b4"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Props1.xml><?xml version="1.0" encoding="utf-8"?>
<ds:datastoreItem xmlns:ds="http://schemas.openxmlformats.org/officeDocument/2006/customXml" ds:itemID="{16B9844A-29FB-49D1-9905-433199B71B03}"/>
</file>

<file path=customXml/itemProps2.xml><?xml version="1.0" encoding="utf-8"?>
<ds:datastoreItem xmlns:ds="http://schemas.openxmlformats.org/officeDocument/2006/customXml" ds:itemID="{5BCC2029-D9B8-43E9-97F2-AD13843ED1D6}">
  <ds:schemaRefs>
    <ds:schemaRef ds:uri="http://schemas.microsoft.com/sharepoint/v3/contenttype/forms"/>
  </ds:schemaRefs>
</ds:datastoreItem>
</file>

<file path=customXml/itemProps3.xml><?xml version="1.0" encoding="utf-8"?>
<ds:datastoreItem xmlns:ds="http://schemas.openxmlformats.org/officeDocument/2006/customXml" ds:itemID="{A65B2386-EBD8-4B4C-8A71-594BDADBD00B}">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Coretext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Alyce Scanlon-Batt</dc:creator>
  <lastModifiedBy>Adam Moore</lastModifiedBy>
  <revision>7</revision>
  <lastPrinted>2018-03-06T22:49:00.0000000Z</lastPrinted>
  <dcterms:created xsi:type="dcterms:W3CDTF">2019-02-27T00:48:00.0000000Z</dcterms:created>
  <dcterms:modified xsi:type="dcterms:W3CDTF">2026-03-06T07:59:10.9412616Z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130400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4" name="docLang">
    <vt:lpwstr>en</vt:lpwstr>
  </property>
</Properties>
</file>