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077032" w14:textId="36EF9326" w:rsidR="00AD588C" w:rsidRPr="008A2427" w:rsidRDefault="006C6919" w:rsidP="00FD6336">
      <w:pPr>
        <w:pStyle w:val="Heading2"/>
        <w:rPr>
          <w:sz w:val="44"/>
          <w:szCs w:val="44"/>
        </w:rPr>
      </w:pPr>
      <w:r>
        <w:rPr>
          <w:sz w:val="44"/>
          <w:szCs w:val="44"/>
        </w:rPr>
        <w:t xml:space="preserve">Professional Standard: </w:t>
      </w:r>
      <w:r w:rsidR="008A2427">
        <w:rPr>
          <w:sz w:val="44"/>
          <w:szCs w:val="44"/>
        </w:rPr>
        <w:br/>
      </w:r>
      <w:r w:rsidR="00687D75">
        <w:rPr>
          <w:sz w:val="44"/>
          <w:szCs w:val="44"/>
        </w:rPr>
        <w:t xml:space="preserve">Certified </w:t>
      </w:r>
      <w:r w:rsidR="00A224B7">
        <w:rPr>
          <w:sz w:val="44"/>
          <w:szCs w:val="44"/>
        </w:rPr>
        <w:t>Planning</w:t>
      </w:r>
      <w:r w:rsidR="00687D75">
        <w:rPr>
          <w:sz w:val="44"/>
          <w:szCs w:val="44"/>
        </w:rPr>
        <w:t xml:space="preserve"> Officer</w:t>
      </w:r>
      <w:r w:rsidR="008A2427">
        <w:rPr>
          <w:sz w:val="44"/>
          <w:szCs w:val="44"/>
        </w:rPr>
        <w:t xml:space="preserve"> Requirements</w:t>
      </w:r>
    </w:p>
    <w:p w14:paraId="3A681ABC" w14:textId="77777777" w:rsidR="00FD6336" w:rsidRDefault="00FD6336" w:rsidP="00E85782">
      <w:pPr>
        <w:rPr>
          <w:rFonts w:asciiTheme="majorHAnsi" w:hAnsiTheme="majorHAnsi" w:cs="MyriadPro-Bold"/>
          <w:b/>
          <w:bCs/>
          <w:color w:val="0033A0"/>
          <w:sz w:val="28"/>
          <w:szCs w:val="28"/>
          <w:lang w:val="en-GB" w:eastAsia="ja-JP"/>
        </w:rPr>
      </w:pPr>
      <w:r w:rsidRPr="00FD6336">
        <w:rPr>
          <w:rFonts w:asciiTheme="majorHAnsi" w:hAnsiTheme="majorHAnsi" w:cs="MyriadPro-Bold"/>
          <w:b/>
          <w:bCs/>
          <w:color w:val="0033A0"/>
          <w:sz w:val="28"/>
          <w:szCs w:val="28"/>
          <w:lang w:val="en-GB" w:eastAsia="ja-JP"/>
        </w:rPr>
        <w:t>Authority</w:t>
      </w:r>
    </w:p>
    <w:p w14:paraId="5F7C905F" w14:textId="30487958" w:rsidR="007D1842" w:rsidRDefault="007D1842" w:rsidP="007D1842">
      <w:r w:rsidRPr="6070C7FB">
        <w:rPr>
          <w:lang w:eastAsia="ja-JP"/>
        </w:rPr>
        <w:t xml:space="preserve">This standard was endorsed by the AFAC Emergency Management Professionalisation Scheme Panel </w:t>
      </w:r>
      <w:r>
        <w:br/>
      </w:r>
      <w:r w:rsidRPr="6070C7FB">
        <w:rPr>
          <w:lang w:eastAsia="ja-JP"/>
        </w:rPr>
        <w:t xml:space="preserve">on </w:t>
      </w:r>
      <w:r w:rsidR="1DFB134C" w:rsidRPr="6070C7FB">
        <w:rPr>
          <w:lang w:eastAsia="ja-JP"/>
        </w:rPr>
        <w:t>30 May</w:t>
      </w:r>
      <w:r w:rsidRPr="6070C7FB">
        <w:rPr>
          <w:lang w:eastAsia="ja-JP"/>
        </w:rPr>
        <w:t xml:space="preserve"> 2024 as delegated authority by the AFAC Board.</w:t>
      </w:r>
    </w:p>
    <w:p w14:paraId="2DEDFB54" w14:textId="2EFF1467" w:rsidR="00AD588C" w:rsidRDefault="00FD6336" w:rsidP="00FD6336">
      <w:pPr>
        <w:pStyle w:val="Heading3"/>
      </w:pPr>
      <w:r>
        <w:t>Context</w:t>
      </w:r>
    </w:p>
    <w:p w14:paraId="7547BD6C" w14:textId="77777777" w:rsidR="00BD5305" w:rsidRDefault="00BD5305" w:rsidP="00BD5305">
      <w:r>
        <w:t>The Emergency Management Professionalisation Scheme (the Scheme) is a program to recognise the skills, abilities and experience of</w:t>
      </w:r>
      <w:r w:rsidRPr="003F1769">
        <w:t xml:space="preserve"> </w:t>
      </w:r>
      <w:r>
        <w:t>emergency management practitioners.</w:t>
      </w:r>
    </w:p>
    <w:p w14:paraId="5C3ACCD2" w14:textId="77777777" w:rsidR="00BD5305" w:rsidRDefault="00BD5305" w:rsidP="00BD5305"/>
    <w:p w14:paraId="594B6FDD" w14:textId="77777777" w:rsidR="00D14B38" w:rsidRDefault="00D14B38" w:rsidP="00D14B38">
      <w:r>
        <w:t>Established by AFAC, the national council for fire and emergency service agencies in Australia and New Zealand, the Scheme is an initiative designed to promote emergency management as a profession.</w:t>
      </w:r>
    </w:p>
    <w:p w14:paraId="18C10FC3" w14:textId="285029B6" w:rsidR="00BD5305" w:rsidRDefault="00BD5305" w:rsidP="7186DED8"/>
    <w:p w14:paraId="0E1B8405" w14:textId="6CAAE509" w:rsidR="00FD6336" w:rsidRDefault="00BD5305" w:rsidP="00BD5305">
      <w:r>
        <w:t>The Scheme is open to career and volunteer personnel of AFAC member agencies, as well as individuals from other organisations</w:t>
      </w:r>
      <w:r w:rsidR="00D14B38">
        <w:t xml:space="preserve"> approved by AFAC</w:t>
      </w:r>
      <w:r>
        <w:t>.</w:t>
      </w:r>
    </w:p>
    <w:p w14:paraId="50A471C8" w14:textId="77777777" w:rsidR="00FD6336" w:rsidRDefault="00FD6336" w:rsidP="00FD6336">
      <w:pPr>
        <w:pStyle w:val="Heading3"/>
      </w:pPr>
      <w:r w:rsidRPr="00FD6336">
        <w:t>Scope of application</w:t>
      </w:r>
    </w:p>
    <w:p w14:paraId="4FADE7D0" w14:textId="5758A371" w:rsidR="00FD6336" w:rsidRDefault="00FD6336" w:rsidP="7186DED8">
      <w:pPr>
        <w:rPr>
          <w:lang w:eastAsia="ja-JP"/>
        </w:rPr>
      </w:pPr>
      <w:r w:rsidRPr="7186DED8">
        <w:rPr>
          <w:lang w:eastAsia="ja-JP"/>
        </w:rPr>
        <w:t xml:space="preserve">This standard applies to applicants seeking </w:t>
      </w:r>
      <w:r w:rsidR="00666E79" w:rsidRPr="7186DED8">
        <w:rPr>
          <w:lang w:eastAsia="ja-JP"/>
        </w:rPr>
        <w:t>credentialing</w:t>
      </w:r>
      <w:r w:rsidRPr="7186DED8">
        <w:rPr>
          <w:lang w:eastAsia="ja-JP"/>
        </w:rPr>
        <w:t xml:space="preserve"> in the role of </w:t>
      </w:r>
      <w:r w:rsidR="00BE2AEF" w:rsidRPr="7186DED8">
        <w:rPr>
          <w:lang w:eastAsia="ja-JP"/>
        </w:rPr>
        <w:t xml:space="preserve">Certified </w:t>
      </w:r>
      <w:r w:rsidR="00FE078B" w:rsidRPr="7186DED8">
        <w:rPr>
          <w:lang w:eastAsia="ja-JP"/>
        </w:rPr>
        <w:t>Planning</w:t>
      </w:r>
      <w:r w:rsidR="00BE2AEF" w:rsidRPr="7186DED8">
        <w:rPr>
          <w:lang w:eastAsia="ja-JP"/>
        </w:rPr>
        <w:t xml:space="preserve"> Officer</w:t>
      </w:r>
      <w:r w:rsidRPr="7186DED8">
        <w:rPr>
          <w:lang w:eastAsia="ja-JP"/>
        </w:rPr>
        <w:t xml:space="preserve">.  </w:t>
      </w:r>
    </w:p>
    <w:p w14:paraId="5DA2EE74" w14:textId="77777777" w:rsidR="00BE2AEF" w:rsidRPr="00FD6336" w:rsidRDefault="00BE2AEF" w:rsidP="00FD6336">
      <w:pPr>
        <w:rPr>
          <w:lang w:val="en-GB" w:eastAsia="ja-JP"/>
        </w:rPr>
      </w:pPr>
    </w:p>
    <w:p w14:paraId="4EA2B474" w14:textId="77777777" w:rsidR="00FD6336" w:rsidRDefault="00FD6336" w:rsidP="00FD6336">
      <w:pPr>
        <w:rPr>
          <w:lang w:val="en-GB" w:eastAsia="ja-JP"/>
        </w:rPr>
      </w:pPr>
      <w:r w:rsidRPr="00FD6336">
        <w:rPr>
          <w:lang w:val="en-GB" w:eastAsia="ja-JP"/>
        </w:rPr>
        <w:t xml:space="preserve">Hazard specific expertise will be evaluated as part of the credentialing process, </w:t>
      </w:r>
      <w:r w:rsidR="00BE2AEF">
        <w:rPr>
          <w:lang w:val="en-GB" w:eastAsia="ja-JP"/>
        </w:rPr>
        <w:t>but credentials are not awarded by hazard class</w:t>
      </w:r>
      <w:r w:rsidRPr="00FD6336">
        <w:rPr>
          <w:lang w:val="en-GB" w:eastAsia="ja-JP"/>
        </w:rPr>
        <w:t>.</w:t>
      </w:r>
    </w:p>
    <w:p w14:paraId="52F19796" w14:textId="77777777" w:rsidR="00FD6336" w:rsidRPr="00FD6336" w:rsidRDefault="00FD6336" w:rsidP="00FD6336">
      <w:pPr>
        <w:rPr>
          <w:lang w:val="en-GB" w:eastAsia="ja-JP"/>
        </w:rPr>
      </w:pPr>
    </w:p>
    <w:p w14:paraId="19514058" w14:textId="58DD979E" w:rsidR="00FD6336" w:rsidRDefault="00FD6336" w:rsidP="00FD6336">
      <w:pPr>
        <w:rPr>
          <w:lang w:val="en-GB" w:eastAsia="ja-JP"/>
        </w:rPr>
      </w:pPr>
      <w:r w:rsidRPr="7186DED8">
        <w:rPr>
          <w:lang w:val="en-GB" w:eastAsia="ja-JP"/>
        </w:rPr>
        <w:t xml:space="preserve">Applicants may be career staff or volunteers of AFAC member agencies or personnel from </w:t>
      </w:r>
      <w:r w:rsidR="00666E79" w:rsidRPr="7186DED8">
        <w:rPr>
          <w:lang w:val="en-GB" w:eastAsia="ja-JP"/>
        </w:rPr>
        <w:t xml:space="preserve">government, </w:t>
      </w:r>
      <w:r w:rsidRPr="7186DED8">
        <w:rPr>
          <w:lang w:val="en-GB" w:eastAsia="ja-JP"/>
        </w:rPr>
        <w:t>commercial</w:t>
      </w:r>
      <w:r w:rsidR="00666E79" w:rsidRPr="7186DED8">
        <w:rPr>
          <w:lang w:val="en-GB" w:eastAsia="ja-JP"/>
        </w:rPr>
        <w:t>,</w:t>
      </w:r>
      <w:r w:rsidRPr="7186DED8">
        <w:rPr>
          <w:lang w:val="en-GB" w:eastAsia="ja-JP"/>
        </w:rPr>
        <w:t xml:space="preserve"> or other entities</w:t>
      </w:r>
      <w:r w:rsidR="00666E79" w:rsidRPr="7186DED8">
        <w:rPr>
          <w:lang w:val="en-GB" w:eastAsia="ja-JP"/>
        </w:rPr>
        <w:t xml:space="preserve"> approved by AFAC</w:t>
      </w:r>
      <w:r w:rsidRPr="7186DED8">
        <w:rPr>
          <w:lang w:val="en-GB" w:eastAsia="ja-JP"/>
        </w:rPr>
        <w:t>.</w:t>
      </w:r>
    </w:p>
    <w:p w14:paraId="5D1E2431" w14:textId="49A91532" w:rsidR="00FD6336" w:rsidRDefault="00E43D15" w:rsidP="7186DED8">
      <w:pPr>
        <w:pStyle w:val="Heading3"/>
      </w:pPr>
      <w:r>
        <w:t>Credential</w:t>
      </w:r>
    </w:p>
    <w:p w14:paraId="685F5CCA" w14:textId="670DD6ED" w:rsidR="00167843" w:rsidRDefault="00167843" w:rsidP="007C746B">
      <w:pPr>
        <w:spacing w:after="120"/>
        <w:rPr>
          <w:lang w:val="en-GB" w:eastAsia="ja-JP"/>
        </w:rPr>
      </w:pPr>
      <w:r w:rsidRPr="00FD6336">
        <w:rPr>
          <w:lang w:val="en-GB" w:eastAsia="ja-JP"/>
        </w:rPr>
        <w:t>Th</w:t>
      </w:r>
      <w:r>
        <w:rPr>
          <w:lang w:val="en-GB" w:eastAsia="ja-JP"/>
        </w:rPr>
        <w:t xml:space="preserve">e Certified </w:t>
      </w:r>
      <w:r w:rsidR="00FE078B">
        <w:rPr>
          <w:lang w:val="en-GB" w:eastAsia="ja-JP"/>
        </w:rPr>
        <w:t>Planning</w:t>
      </w:r>
      <w:r>
        <w:rPr>
          <w:lang w:val="en-GB" w:eastAsia="ja-JP"/>
        </w:rPr>
        <w:t xml:space="preserve"> Officer</w:t>
      </w:r>
      <w:r w:rsidRPr="00FD6336">
        <w:rPr>
          <w:lang w:val="en-GB" w:eastAsia="ja-JP"/>
        </w:rPr>
        <w:t xml:space="preserve"> credential is awarded to an individual who has successfully fulfilled all eligibility requirements. Individuals will be recognised as an expert in </w:t>
      </w:r>
      <w:r>
        <w:rPr>
          <w:lang w:val="en-GB" w:eastAsia="ja-JP"/>
        </w:rPr>
        <w:t xml:space="preserve">managing </w:t>
      </w:r>
      <w:r w:rsidR="001F5125">
        <w:rPr>
          <w:lang w:val="en-GB" w:eastAsia="ja-JP"/>
        </w:rPr>
        <w:t>planning</w:t>
      </w:r>
      <w:r>
        <w:rPr>
          <w:lang w:val="en-GB" w:eastAsia="ja-JP"/>
        </w:rPr>
        <w:t xml:space="preserve"> at an emergency incident</w:t>
      </w:r>
      <w:r w:rsidRPr="00FD6336">
        <w:rPr>
          <w:lang w:val="en-GB" w:eastAsia="ja-JP"/>
        </w:rPr>
        <w:t xml:space="preserve">, with </w:t>
      </w:r>
      <w:r w:rsidR="000F059B">
        <w:rPr>
          <w:lang w:val="en-GB" w:eastAsia="ja-JP"/>
        </w:rPr>
        <w:t>significant</w:t>
      </w:r>
      <w:r w:rsidRPr="00FD6336">
        <w:rPr>
          <w:lang w:val="en-GB" w:eastAsia="ja-JP"/>
        </w:rPr>
        <w:t xml:space="preserve"> experience in </w:t>
      </w:r>
      <w:r>
        <w:rPr>
          <w:lang w:val="en-GB" w:eastAsia="ja-JP"/>
        </w:rPr>
        <w:t>working in the context of</w:t>
      </w:r>
      <w:r w:rsidRPr="00FD6336">
        <w:rPr>
          <w:lang w:val="en-GB" w:eastAsia="ja-JP"/>
        </w:rPr>
        <w:t xml:space="preserve"> high impact, high consequence</w:t>
      </w:r>
      <w:r>
        <w:rPr>
          <w:lang w:val="en-GB" w:eastAsia="ja-JP"/>
        </w:rPr>
        <w:t xml:space="preserve"> </w:t>
      </w:r>
      <w:r w:rsidRPr="00FD6336">
        <w:rPr>
          <w:lang w:val="en-GB" w:eastAsia="ja-JP"/>
        </w:rPr>
        <w:t>and complex emergencies</w:t>
      </w:r>
      <w:r>
        <w:rPr>
          <w:lang w:val="en-GB" w:eastAsia="ja-JP"/>
        </w:rPr>
        <w:t>.</w:t>
      </w:r>
    </w:p>
    <w:p w14:paraId="2D77AE4A" w14:textId="2027D72F" w:rsidR="00E11E16" w:rsidRDefault="00E11E16" w:rsidP="00E11E16">
      <w:pPr>
        <w:pStyle w:val="Heading3"/>
      </w:pPr>
      <w:r w:rsidRPr="00E11E16">
        <w:t xml:space="preserve">Eligibility – Certified </w:t>
      </w:r>
      <w:r w:rsidR="00FE078B">
        <w:t>Planning</w:t>
      </w:r>
      <w:r w:rsidR="000F419A">
        <w:t xml:space="preserve"> Officer</w:t>
      </w:r>
    </w:p>
    <w:p w14:paraId="53C5AE53" w14:textId="77777777" w:rsidR="00126AED" w:rsidRPr="00C128F8" w:rsidRDefault="00126AED" w:rsidP="00126AED">
      <w:pPr>
        <w:rPr>
          <w:lang w:val="en-GB" w:eastAsia="ja-JP"/>
        </w:rPr>
      </w:pPr>
      <w:r w:rsidRPr="7186DED8">
        <w:rPr>
          <w:lang w:val="en-GB" w:eastAsia="ja-JP"/>
        </w:rPr>
        <w:t>Applicants must meet eligibility requirements for all three areas as detailed below (education, experience and other).</w:t>
      </w:r>
    </w:p>
    <w:p w14:paraId="069A0732" w14:textId="4B74E208" w:rsidR="00126AED" w:rsidRPr="00C128F8" w:rsidRDefault="00126AED" w:rsidP="00126AED">
      <w:pPr>
        <w:pStyle w:val="Heading3"/>
        <w:numPr>
          <w:ilvl w:val="0"/>
          <w:numId w:val="11"/>
        </w:numPr>
        <w:rPr>
          <w:sz w:val="24"/>
          <w:szCs w:val="24"/>
        </w:rPr>
      </w:pPr>
      <w:r w:rsidRPr="7186DED8">
        <w:rPr>
          <w:sz w:val="24"/>
          <w:szCs w:val="24"/>
        </w:rPr>
        <w:t>Education requirements for Certified Planning Officer</w:t>
      </w:r>
    </w:p>
    <w:p w14:paraId="0181B596" w14:textId="77777777" w:rsidR="00126AED" w:rsidRDefault="00126AED" w:rsidP="00126AED">
      <w:pPr>
        <w:rPr>
          <w:lang w:val="en-GB" w:eastAsia="ja-JP"/>
        </w:rPr>
      </w:pPr>
      <w:r w:rsidRPr="7186DED8">
        <w:rPr>
          <w:lang w:val="en-GB" w:eastAsia="ja-JP"/>
        </w:rPr>
        <w:t>Applicants must be able to provide documented evidence of:</w:t>
      </w:r>
    </w:p>
    <w:p w14:paraId="11A55CD5" w14:textId="77777777" w:rsidR="00126AED" w:rsidRDefault="00126AED" w:rsidP="00126AED">
      <w:pPr>
        <w:rPr>
          <w:lang w:val="en-GB" w:eastAsia="ja-JP"/>
        </w:rPr>
      </w:pPr>
    </w:p>
    <w:p w14:paraId="11FBE9D4" w14:textId="26B53175" w:rsidR="00126AED" w:rsidRPr="00A13B0B" w:rsidRDefault="00126AED" w:rsidP="7186DED8">
      <w:pPr>
        <w:pStyle w:val="ListParagraph"/>
        <w:numPr>
          <w:ilvl w:val="0"/>
          <w:numId w:val="13"/>
        </w:numPr>
        <w:spacing w:line="288" w:lineRule="auto"/>
        <w:rPr>
          <w:lang w:val="en-GB" w:eastAsia="ja-JP"/>
        </w:rPr>
      </w:pPr>
      <w:r w:rsidRPr="7186DED8">
        <w:rPr>
          <w:lang w:val="en-GB" w:eastAsia="ja-JP"/>
        </w:rPr>
        <w:t>successful completion of one or more of the education components and all associated prerequisites as specified in Table 1</w:t>
      </w:r>
    </w:p>
    <w:p w14:paraId="3F0D04A5" w14:textId="32EC95BF" w:rsidR="00126AED" w:rsidRPr="00A13B0B" w:rsidRDefault="00126AED" w:rsidP="7186DED8">
      <w:pPr>
        <w:pStyle w:val="ListParagraph"/>
        <w:numPr>
          <w:ilvl w:val="0"/>
          <w:numId w:val="13"/>
        </w:numPr>
        <w:spacing w:line="288" w:lineRule="auto"/>
        <w:rPr>
          <w:lang w:val="en-GB" w:eastAsia="ja-JP"/>
        </w:rPr>
      </w:pPr>
      <w:r w:rsidRPr="6070C7FB">
        <w:rPr>
          <w:lang w:val="en-GB" w:eastAsia="ja-JP"/>
        </w:rPr>
        <w:t>capabilities as described in the Professional Standard: Planning Officer Capabilities; and</w:t>
      </w:r>
    </w:p>
    <w:p w14:paraId="796B11C3" w14:textId="5156AF04" w:rsidR="00126AED" w:rsidRDefault="00126AED" w:rsidP="7186DED8">
      <w:pPr>
        <w:pStyle w:val="ListParagraph"/>
        <w:numPr>
          <w:ilvl w:val="0"/>
          <w:numId w:val="13"/>
        </w:numPr>
        <w:spacing w:line="288" w:lineRule="auto"/>
        <w:rPr>
          <w:lang w:val="en-GB" w:eastAsia="ja-JP"/>
        </w:rPr>
      </w:pPr>
      <w:r w:rsidRPr="7186DED8">
        <w:rPr>
          <w:lang w:val="en-GB" w:eastAsia="ja-JP"/>
        </w:rPr>
        <w:t>meeting the requirements of this standard.</w:t>
      </w:r>
    </w:p>
    <w:p w14:paraId="012C0477" w14:textId="7EB29468" w:rsidR="00BC76FB" w:rsidRPr="00D61E6E" w:rsidRDefault="00BC76FB" w:rsidP="00D61E6E">
      <w:pPr>
        <w:rPr>
          <w:szCs w:val="22"/>
          <w:lang w:val="en-GB" w:eastAsia="ja-JP"/>
        </w:rPr>
      </w:pPr>
    </w:p>
    <w:p w14:paraId="4CB0C319" w14:textId="26BD65EB" w:rsidR="00BC76FB" w:rsidRPr="009661F7" w:rsidRDefault="009661F7" w:rsidP="7186DED8">
      <w:pPr>
        <w:pStyle w:val="ListParagraph"/>
        <w:numPr>
          <w:ilvl w:val="0"/>
          <w:numId w:val="9"/>
        </w:numPr>
        <w:spacing w:after="120"/>
        <w:rPr>
          <w:szCs w:val="22"/>
          <w:lang w:val="en-GB" w:eastAsia="ja-JP"/>
        </w:rPr>
      </w:pPr>
      <w:r w:rsidRPr="7186DED8">
        <w:rPr>
          <w:lang w:val="en-GB" w:eastAsia="ja-JP"/>
        </w:rPr>
        <w:t>Table 1:</w:t>
      </w: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9214"/>
      </w:tblGrid>
      <w:tr w:rsidR="009661F7" w14:paraId="54131D22" w14:textId="77777777" w:rsidTr="7186DED8">
        <w:trPr>
          <w:trHeight w:val="300"/>
          <w:tblHeader/>
        </w:trPr>
        <w:tc>
          <w:tcPr>
            <w:tcW w:w="9214" w:type="dxa"/>
            <w:shd w:val="clear" w:color="auto" w:fill="BFBFBF" w:themeFill="background1" w:themeFillShade="BF"/>
          </w:tcPr>
          <w:p w14:paraId="739FC9F1" w14:textId="77777777" w:rsidR="009661F7" w:rsidRPr="00A23A08" w:rsidRDefault="009661F7" w:rsidP="7186DED8">
            <w:pPr>
              <w:rPr>
                <w:b/>
                <w:bCs/>
                <w:color w:val="000000" w:themeColor="text1"/>
                <w:sz w:val="18"/>
                <w:szCs w:val="18"/>
              </w:rPr>
            </w:pPr>
            <w:r w:rsidRPr="7186DED8">
              <w:rPr>
                <w:b/>
                <w:bCs/>
                <w:color w:val="000000" w:themeColor="text1"/>
                <w:sz w:val="18"/>
                <w:szCs w:val="18"/>
              </w:rPr>
              <w:t>Course or Program</w:t>
            </w:r>
          </w:p>
        </w:tc>
      </w:tr>
      <w:tr w:rsidR="009661F7" w14:paraId="5675FC54" w14:textId="77777777" w:rsidTr="7186DED8">
        <w:trPr>
          <w:trHeight w:val="300"/>
        </w:trPr>
        <w:tc>
          <w:tcPr>
            <w:tcW w:w="9214" w:type="dxa"/>
          </w:tcPr>
          <w:p w14:paraId="7C51817B" w14:textId="77777777" w:rsidR="009661F7" w:rsidRDefault="009661F7" w:rsidP="00273909"/>
          <w:p w14:paraId="5DE14D9C" w14:textId="77777777" w:rsidR="009661F7" w:rsidRDefault="009661F7" w:rsidP="00273909">
            <w:r>
              <w:t>PUAOPE025 Manage planning for a complex incident – awarded following completion of a program of study with an accredited RTO.</w:t>
            </w:r>
          </w:p>
          <w:p w14:paraId="276B3250" w14:textId="77777777" w:rsidR="009661F7" w:rsidRDefault="009661F7" w:rsidP="00273909"/>
        </w:tc>
      </w:tr>
      <w:tr w:rsidR="009661F7" w14:paraId="5514AAC7" w14:textId="77777777" w:rsidTr="7186DED8">
        <w:trPr>
          <w:trHeight w:val="300"/>
        </w:trPr>
        <w:tc>
          <w:tcPr>
            <w:tcW w:w="9214" w:type="dxa"/>
          </w:tcPr>
          <w:p w14:paraId="075E177C" w14:textId="77777777" w:rsidR="009661F7" w:rsidRDefault="009661F7" w:rsidP="00273909"/>
          <w:p w14:paraId="3FB791EA" w14:textId="77777777" w:rsidR="009661F7" w:rsidRDefault="009661F7" w:rsidP="00273909">
            <w:r>
              <w:t>PUAOPE025 Manage planning for a complex incident - awarded through a formal RPL (Recognition of Prior Learning) process with an accredited RTO.</w:t>
            </w:r>
          </w:p>
          <w:p w14:paraId="00659BBF" w14:textId="77777777" w:rsidR="009661F7" w:rsidRDefault="009661F7" w:rsidP="00273909"/>
        </w:tc>
      </w:tr>
      <w:tr w:rsidR="009661F7" w14:paraId="0EFFE70B" w14:textId="77777777" w:rsidTr="7186DED8">
        <w:trPr>
          <w:trHeight w:val="300"/>
        </w:trPr>
        <w:tc>
          <w:tcPr>
            <w:tcW w:w="9214" w:type="dxa"/>
          </w:tcPr>
          <w:p w14:paraId="14E87D92" w14:textId="77777777" w:rsidR="009661F7" w:rsidRDefault="009661F7" w:rsidP="00273909"/>
          <w:p w14:paraId="3CE942FE" w14:textId="6E0292FA" w:rsidR="0072151A" w:rsidRDefault="009661F7" w:rsidP="00273909">
            <w:r>
              <w:t xml:space="preserve">An AFAC member </w:t>
            </w:r>
            <w:r w:rsidR="001628C5">
              <w:t xml:space="preserve">enterprise-approved non-accredited </w:t>
            </w:r>
            <w:r>
              <w:t xml:space="preserve">course for Planning Officers working in developed incident management structures which is formally assessed against criteria equivalent to PUAOPE025.  </w:t>
            </w:r>
          </w:p>
          <w:p w14:paraId="362613C5" w14:textId="1ED06CC3" w:rsidR="009661F7" w:rsidRDefault="009661F7" w:rsidP="00273909">
            <w:r>
              <w:t>You will need to provide evidence of your agency’s mapping to PUAOPE025.</w:t>
            </w:r>
          </w:p>
          <w:p w14:paraId="6DD13C36" w14:textId="77777777" w:rsidR="009661F7" w:rsidRDefault="009661F7" w:rsidP="00273909"/>
        </w:tc>
      </w:tr>
      <w:tr w:rsidR="009661F7" w14:paraId="0AC3986B" w14:textId="77777777" w:rsidTr="7186DED8">
        <w:trPr>
          <w:trHeight w:val="1122"/>
        </w:trPr>
        <w:tc>
          <w:tcPr>
            <w:tcW w:w="9214" w:type="dxa"/>
          </w:tcPr>
          <w:p w14:paraId="0A4F5B8E" w14:textId="77777777" w:rsidR="009661F7" w:rsidRDefault="009661F7" w:rsidP="00273909"/>
          <w:p w14:paraId="2177FFCC" w14:textId="77777777" w:rsidR="009661F7" w:rsidRDefault="009661F7" w:rsidP="00273909">
            <w:r>
              <w:t>Non-Traditional Pathway (NTP) – has been credentialed in the specified role by the EMPS Panel having successfully followed the EMPS-NTP pathway.</w:t>
            </w:r>
          </w:p>
          <w:p w14:paraId="139D0B34" w14:textId="77777777" w:rsidR="009661F7" w:rsidRDefault="009661F7" w:rsidP="00273909"/>
        </w:tc>
      </w:tr>
    </w:tbl>
    <w:p w14:paraId="34397BC3" w14:textId="04FF4307" w:rsidR="00BC76FB" w:rsidRDefault="00BC76FB" w:rsidP="7186DED8">
      <w:pPr>
        <w:rPr>
          <w:lang w:val="en-GB" w:eastAsia="ja-JP"/>
        </w:rPr>
      </w:pPr>
    </w:p>
    <w:p w14:paraId="187622A8" w14:textId="137AD22E" w:rsidR="7186DED8" w:rsidRDefault="7186DED8"/>
    <w:p w14:paraId="3A38CCD0" w14:textId="3C5BAD1E" w:rsidR="00FE078B" w:rsidRDefault="00FE078B" w:rsidP="7186DED8">
      <w:pPr>
        <w:rPr>
          <w:lang w:val="en-GB" w:eastAsia="ja-JP"/>
        </w:rPr>
      </w:pPr>
      <w:r w:rsidRPr="4D59AEB7">
        <w:rPr>
          <w:lang w:val="en-GB" w:eastAsia="ja-JP"/>
        </w:rPr>
        <w:t>NOTE: there is no PUA Unit of Competency for Manage planning for a level 3 Incident. Applicants must be able to demonstrate that they are experienced in managing the planning function at a Level 3 incident in order to be eligible for this credential.</w:t>
      </w:r>
    </w:p>
    <w:p w14:paraId="026E3A04" w14:textId="490B1C75" w:rsidR="00126AED" w:rsidRPr="00110950" w:rsidRDefault="00126AED" w:rsidP="00126AED">
      <w:pPr>
        <w:pStyle w:val="Heading3"/>
        <w:numPr>
          <w:ilvl w:val="0"/>
          <w:numId w:val="11"/>
        </w:numPr>
        <w:rPr>
          <w:sz w:val="26"/>
          <w:szCs w:val="26"/>
        </w:rPr>
      </w:pPr>
      <w:r w:rsidRPr="6070C7FB">
        <w:rPr>
          <w:sz w:val="26"/>
          <w:szCs w:val="26"/>
        </w:rPr>
        <w:t>Experience Requirements – Certified Planning Officer</w:t>
      </w:r>
    </w:p>
    <w:p w14:paraId="59B453B0" w14:textId="77777777" w:rsidR="00126AED" w:rsidRDefault="00126AED" w:rsidP="00126AED">
      <w:pPr>
        <w:rPr>
          <w:lang w:val="en-GB" w:eastAsia="ja-JP"/>
        </w:rPr>
      </w:pPr>
      <w:r w:rsidRPr="6070C7FB">
        <w:rPr>
          <w:lang w:val="en-GB" w:eastAsia="ja-JP"/>
        </w:rPr>
        <w:t>Applicants must be able to provide documented evidence to demonstrate that they:</w:t>
      </w:r>
    </w:p>
    <w:p w14:paraId="75FB7588" w14:textId="4F724D70" w:rsidR="00126AED" w:rsidRDefault="00126AED" w:rsidP="00126AED">
      <w:pPr>
        <w:pStyle w:val="ListParagraph"/>
        <w:numPr>
          <w:ilvl w:val="0"/>
          <w:numId w:val="4"/>
        </w:numPr>
        <w:rPr>
          <w:lang w:val="en-GB" w:eastAsia="ja-JP"/>
        </w:rPr>
      </w:pPr>
      <w:r w:rsidRPr="6070C7FB">
        <w:rPr>
          <w:lang w:val="en-GB" w:eastAsia="ja-JP"/>
        </w:rPr>
        <w:t xml:space="preserve">have successfully fulfilled the role of Planning Officer managing a developed Planning Section at complex, high impact, high consequence emergency events, including managing Units within the Section. </w:t>
      </w:r>
    </w:p>
    <w:p w14:paraId="27B94299" w14:textId="77777777" w:rsidR="00182AEA" w:rsidRDefault="00126AED" w:rsidP="00126AED">
      <w:pPr>
        <w:pStyle w:val="ListParagraph"/>
        <w:numPr>
          <w:ilvl w:val="0"/>
          <w:numId w:val="4"/>
        </w:numPr>
        <w:rPr>
          <w:lang w:val="en-GB" w:eastAsia="ja-JP"/>
        </w:rPr>
      </w:pPr>
      <w:r w:rsidRPr="6070C7FB">
        <w:rPr>
          <w:lang w:val="en-GB" w:eastAsia="ja-JP"/>
        </w:rPr>
        <w:t>the above experience should be for a period of at least three years</w:t>
      </w:r>
    </w:p>
    <w:p w14:paraId="4AD8D725" w14:textId="520752C4" w:rsidR="00126AED" w:rsidRPr="00182AEA" w:rsidRDefault="00182AEA" w:rsidP="6070C7FB">
      <w:pPr>
        <w:pStyle w:val="ListParagraph"/>
        <w:numPr>
          <w:ilvl w:val="0"/>
          <w:numId w:val="4"/>
        </w:numPr>
        <w:rPr>
          <w:i/>
          <w:iCs/>
          <w:lang w:val="en-GB" w:eastAsia="ja-JP"/>
        </w:rPr>
      </w:pPr>
      <w:r w:rsidRPr="6070C7FB">
        <w:rPr>
          <w:i/>
          <w:iCs/>
          <w:lang w:val="en-GB" w:eastAsia="ja-JP"/>
        </w:rPr>
        <w:t>(</w:t>
      </w:r>
      <w:r w:rsidR="00126AED" w:rsidRPr="6070C7FB">
        <w:rPr>
          <w:i/>
          <w:iCs/>
          <w:lang w:val="en-GB" w:eastAsia="ja-JP"/>
        </w:rPr>
        <w:t>and in a minimum of three instances, with at least one instance being in the 12 months prior to the date the application is received by AFAC.</w:t>
      </w:r>
      <w:r w:rsidRPr="6070C7FB">
        <w:rPr>
          <w:i/>
          <w:iCs/>
          <w:lang w:val="en-GB" w:eastAsia="ja-JP"/>
        </w:rPr>
        <w:t>)</w:t>
      </w:r>
    </w:p>
    <w:p w14:paraId="7BC28047" w14:textId="77777777" w:rsidR="00126AED" w:rsidRPr="00182AEA" w:rsidRDefault="00126AED" w:rsidP="6070C7FB">
      <w:pPr>
        <w:pStyle w:val="ListParagraph"/>
        <w:numPr>
          <w:ilvl w:val="0"/>
          <w:numId w:val="4"/>
        </w:numPr>
        <w:rPr>
          <w:i/>
          <w:iCs/>
          <w:lang w:val="en-GB" w:eastAsia="ja-JP"/>
        </w:rPr>
      </w:pPr>
      <w:r w:rsidRPr="6070C7FB">
        <w:rPr>
          <w:i/>
          <w:iCs/>
          <w:lang w:val="en-GB" w:eastAsia="ja-JP"/>
        </w:rPr>
        <w:t>for the three instances provided as evidence only one instance can be an exercise or simulation.</w:t>
      </w:r>
    </w:p>
    <w:p w14:paraId="6FC01BD3" w14:textId="587710D8" w:rsidR="00126AED" w:rsidRDefault="00126AED" w:rsidP="7C1738AB">
      <w:pPr>
        <w:spacing w:after="120"/>
        <w:rPr>
          <w:lang w:val="en-GB" w:eastAsia="ja-JP"/>
        </w:rPr>
      </w:pPr>
    </w:p>
    <w:p w14:paraId="37F86D8E" w14:textId="053A71C8" w:rsidR="00126AED" w:rsidRPr="00110950" w:rsidRDefault="00126AED" w:rsidP="00126AED">
      <w:pPr>
        <w:pStyle w:val="ListParagraph"/>
        <w:numPr>
          <w:ilvl w:val="0"/>
          <w:numId w:val="11"/>
        </w:numPr>
        <w:rPr>
          <w:b/>
          <w:bCs/>
          <w:sz w:val="26"/>
          <w:szCs w:val="26"/>
        </w:rPr>
      </w:pPr>
      <w:r w:rsidRPr="6070C7FB">
        <w:rPr>
          <w:b/>
          <w:bCs/>
          <w:color w:val="0033A0"/>
          <w:sz w:val="26"/>
          <w:szCs w:val="26"/>
        </w:rPr>
        <w:t xml:space="preserve">Other Requirements – Certified Planning Officer </w:t>
      </w:r>
    </w:p>
    <w:p w14:paraId="508FBCD2" w14:textId="77777777" w:rsidR="00126AED" w:rsidRPr="00110950" w:rsidRDefault="00126AED" w:rsidP="00126AED">
      <w:pPr>
        <w:pStyle w:val="ListParagraph"/>
        <w:rPr>
          <w:b/>
          <w:bCs/>
          <w:sz w:val="16"/>
          <w:szCs w:val="16"/>
        </w:rPr>
      </w:pPr>
    </w:p>
    <w:p w14:paraId="354BB522" w14:textId="77777777" w:rsidR="00126AED" w:rsidRDefault="00126AED" w:rsidP="00126AED">
      <w:pPr>
        <w:rPr>
          <w:b/>
          <w:bCs/>
          <w:sz w:val="28"/>
          <w:szCs w:val="28"/>
        </w:rPr>
      </w:pPr>
      <w:r w:rsidRPr="6070C7FB">
        <w:rPr>
          <w:lang w:val="en-GB" w:eastAsia="ja-JP"/>
        </w:rPr>
        <w:t>Applicants must comply with all of the following:</w:t>
      </w:r>
    </w:p>
    <w:p w14:paraId="3470A1F5" w14:textId="77777777" w:rsidR="00126AED" w:rsidRPr="003A598B" w:rsidRDefault="00126AED" w:rsidP="00126AED">
      <w:pPr>
        <w:pStyle w:val="ListParagraph"/>
        <w:numPr>
          <w:ilvl w:val="0"/>
          <w:numId w:val="12"/>
        </w:numPr>
        <w:rPr>
          <w:lang w:val="en-GB" w:eastAsia="ja-JP"/>
        </w:rPr>
      </w:pPr>
      <w:r>
        <w:t>have committed to the EMPS Code of Ethics (2023)</w:t>
      </w:r>
    </w:p>
    <w:p w14:paraId="60020E37" w14:textId="77777777" w:rsidR="00126AED" w:rsidRPr="003A598B" w:rsidRDefault="00126AED" w:rsidP="00126AED">
      <w:pPr>
        <w:pStyle w:val="ListParagraph"/>
        <w:numPr>
          <w:ilvl w:val="0"/>
          <w:numId w:val="12"/>
        </w:numPr>
        <w:rPr>
          <w:lang w:val="en-GB" w:eastAsia="ja-JP"/>
        </w:rPr>
      </w:pPr>
      <w:r w:rsidRPr="6070C7FB">
        <w:rPr>
          <w:lang w:val="en-GB" w:eastAsia="ja-JP"/>
        </w:rPr>
        <w:t>have committed to the EMPS Professional Standard: Continuing Professional Development (2023)</w:t>
      </w:r>
    </w:p>
    <w:p w14:paraId="49E8487E" w14:textId="757E1F22" w:rsidR="00D61E6E" w:rsidRDefault="00126AED" w:rsidP="00126AED">
      <w:pPr>
        <w:pStyle w:val="ListParagraph"/>
        <w:numPr>
          <w:ilvl w:val="0"/>
          <w:numId w:val="12"/>
        </w:numPr>
        <w:rPr>
          <w:rStyle w:val="normaltextrun"/>
          <w:rFonts w:cs="Calibri"/>
          <w:color w:val="000000"/>
          <w:shd w:val="clear" w:color="auto" w:fill="FFFFFF"/>
          <w:lang w:val="en-US"/>
        </w:rPr>
      </w:pPr>
      <w:r w:rsidRPr="6070C7FB">
        <w:rPr>
          <w:rStyle w:val="normaltextrun"/>
          <w:rFonts w:cs="Calibri"/>
          <w:color w:val="000000"/>
          <w:shd w:val="clear" w:color="auto" w:fill="FFFFFF"/>
          <w:lang w:val="en-US"/>
        </w:rPr>
        <w:t>are</w:t>
      </w:r>
      <w:r w:rsidRPr="6070C7FB">
        <w:rPr>
          <w:rStyle w:val="normaltextrun"/>
          <w:rFonts w:cs="Calibri"/>
          <w:color w:val="000000" w:themeColor="text1"/>
          <w:lang w:val="en-US"/>
        </w:rPr>
        <w:t xml:space="preserve"> supported by their home agency or jurisdiction</w:t>
      </w:r>
      <w:r w:rsidRPr="6070C7FB">
        <w:rPr>
          <w:rStyle w:val="normaltextrun"/>
          <w:rFonts w:cs="Calibri"/>
          <w:color w:val="000000"/>
          <w:shd w:val="clear" w:color="auto" w:fill="FFFFFF"/>
          <w:lang w:val="en-US"/>
        </w:rPr>
        <w:t xml:space="preserve">. </w:t>
      </w:r>
      <w:r w:rsidRPr="6070C7FB">
        <w:rPr>
          <w:rStyle w:val="normaltextrun"/>
          <w:rFonts w:cs="Calibri"/>
          <w:i/>
          <w:iCs/>
          <w:color w:val="000000"/>
          <w:shd w:val="clear" w:color="auto" w:fill="FFFFFF"/>
          <w:lang w:val="en-US"/>
        </w:rPr>
        <w:t xml:space="preserve">NOTE: </w:t>
      </w:r>
      <w:r w:rsidRPr="6070C7FB">
        <w:rPr>
          <w:rStyle w:val="normaltextrun"/>
          <w:rFonts w:cs="Calibri"/>
          <w:color w:val="000000"/>
          <w:shd w:val="clear" w:color="auto" w:fill="FFFFFF"/>
          <w:lang w:val="en-US"/>
        </w:rPr>
        <w:t xml:space="preserve">nomination for this credential requires the nominating agency to confirm that in its view the nominee is competent to fill the role of </w:t>
      </w:r>
      <w:r w:rsidR="00182AEA" w:rsidRPr="6070C7FB">
        <w:rPr>
          <w:rStyle w:val="normaltextrun"/>
          <w:rFonts w:cs="Calibri"/>
          <w:color w:val="000000"/>
          <w:shd w:val="clear" w:color="auto" w:fill="FFFFFF"/>
          <w:lang w:val="en-US"/>
        </w:rPr>
        <w:t xml:space="preserve">Certified </w:t>
      </w:r>
      <w:r w:rsidRPr="6070C7FB">
        <w:rPr>
          <w:rStyle w:val="normaltextrun"/>
          <w:rFonts w:cs="Calibri"/>
          <w:color w:val="000000"/>
          <w:shd w:val="clear" w:color="auto" w:fill="FFFFFF"/>
          <w:lang w:val="en-US"/>
        </w:rPr>
        <w:t>Planning Officer</w:t>
      </w:r>
    </w:p>
    <w:p w14:paraId="027D4BF9" w14:textId="77777777" w:rsidR="00D61E6E" w:rsidRDefault="00D61E6E">
      <w:pPr>
        <w:rPr>
          <w:rStyle w:val="normaltextrun"/>
          <w:rFonts w:cs="Calibri"/>
          <w:color w:val="000000"/>
          <w:shd w:val="clear" w:color="auto" w:fill="FFFFFF"/>
          <w:lang w:val="en-US"/>
        </w:rPr>
      </w:pPr>
      <w:r>
        <w:rPr>
          <w:rStyle w:val="normaltextrun"/>
          <w:rFonts w:cs="Calibri"/>
          <w:color w:val="000000"/>
          <w:shd w:val="clear" w:color="auto" w:fill="FFFFFF"/>
          <w:lang w:val="en-US"/>
        </w:rPr>
        <w:br w:type="page"/>
      </w:r>
    </w:p>
    <w:p w14:paraId="6D91CB17" w14:textId="09B1906C" w:rsidR="00036C74" w:rsidRDefault="00036C74" w:rsidP="00036C74">
      <w:pPr>
        <w:pStyle w:val="Heading3"/>
      </w:pPr>
      <w:r w:rsidRPr="00036C74">
        <w:lastRenderedPageBreak/>
        <w:t>Definitions</w:t>
      </w:r>
    </w:p>
    <w:tbl>
      <w:tblPr>
        <w:tblW w:w="981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005"/>
        <w:gridCol w:w="6805"/>
      </w:tblGrid>
      <w:tr w:rsidR="00036C74" w14:paraId="0F1D3FE9" w14:textId="77777777" w:rsidTr="4D59AEB7">
        <w:trPr>
          <w:trHeight w:hRule="exact" w:val="656"/>
        </w:trPr>
        <w:tc>
          <w:tcPr>
            <w:tcW w:w="3005" w:type="dxa"/>
            <w:tcBorders>
              <w:top w:val="single" w:sz="8" w:space="0" w:color="FFFFFF" w:themeColor="background1"/>
              <w:left w:val="nil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273A88"/>
          </w:tcPr>
          <w:p w14:paraId="0D291DDB" w14:textId="77777777" w:rsidR="00036C74" w:rsidRDefault="00036C74" w:rsidP="00566FE3">
            <w:pPr>
              <w:pStyle w:val="TableParagraph"/>
              <w:spacing w:before="59" w:line="252" w:lineRule="exact"/>
              <w:ind w:left="113" w:right="221"/>
              <w:rPr>
                <w:rFonts w:ascii="Calibri" w:eastAsia="Calibri" w:hAnsi="Calibri" w:cs="Calibri"/>
                <w:sz w:val="21"/>
                <w:szCs w:val="21"/>
              </w:rPr>
            </w:pPr>
            <w:r>
              <w:rPr>
                <w:rFonts w:ascii="Calibri"/>
                <w:b/>
                <w:i/>
                <w:color w:val="FFFFFF"/>
                <w:w w:val="105"/>
                <w:sz w:val="21"/>
              </w:rPr>
              <w:t>A</w:t>
            </w:r>
            <w:r>
              <w:rPr>
                <w:rFonts w:ascii="Calibri"/>
                <w:b/>
                <w:i/>
                <w:color w:val="FFFFFF"/>
                <w:spacing w:val="-14"/>
                <w:w w:val="105"/>
                <w:sz w:val="21"/>
              </w:rPr>
              <w:t xml:space="preserve"> </w:t>
            </w:r>
            <w:r>
              <w:rPr>
                <w:rFonts w:ascii="Calibri"/>
                <w:b/>
                <w:i/>
                <w:color w:val="FFFFFF"/>
                <w:w w:val="105"/>
                <w:sz w:val="21"/>
              </w:rPr>
              <w:t>high</w:t>
            </w:r>
            <w:r>
              <w:rPr>
                <w:rFonts w:ascii="Calibri"/>
                <w:b/>
                <w:i/>
                <w:color w:val="FFFFFF"/>
                <w:spacing w:val="-13"/>
                <w:w w:val="105"/>
                <w:sz w:val="21"/>
              </w:rPr>
              <w:t xml:space="preserve"> </w:t>
            </w:r>
            <w:r>
              <w:rPr>
                <w:rFonts w:ascii="Calibri"/>
                <w:b/>
                <w:i/>
                <w:color w:val="FFFFFF"/>
                <w:w w:val="105"/>
                <w:sz w:val="21"/>
              </w:rPr>
              <w:t>i</w:t>
            </w:r>
            <w:r>
              <w:rPr>
                <w:rFonts w:ascii="Calibri"/>
                <w:b/>
                <w:i/>
                <w:color w:val="FFFFFF"/>
                <w:spacing w:val="1"/>
                <w:w w:val="105"/>
                <w:sz w:val="21"/>
              </w:rPr>
              <w:t>mpact,</w:t>
            </w:r>
            <w:r>
              <w:rPr>
                <w:rFonts w:ascii="Calibri"/>
                <w:b/>
                <w:i/>
                <w:color w:val="FFFFFF"/>
                <w:spacing w:val="-14"/>
                <w:w w:val="105"/>
                <w:sz w:val="21"/>
              </w:rPr>
              <w:t xml:space="preserve"> </w:t>
            </w:r>
            <w:r>
              <w:rPr>
                <w:rFonts w:ascii="Calibri"/>
                <w:b/>
                <w:i/>
                <w:color w:val="FFFFFF"/>
                <w:w w:val="105"/>
                <w:sz w:val="21"/>
              </w:rPr>
              <w:t>high</w:t>
            </w:r>
            <w:r>
              <w:rPr>
                <w:rFonts w:ascii="Calibri"/>
                <w:b/>
                <w:i/>
                <w:color w:val="FFFFFF"/>
                <w:spacing w:val="22"/>
                <w:w w:val="106"/>
                <w:sz w:val="21"/>
              </w:rPr>
              <w:t xml:space="preserve"> </w:t>
            </w:r>
            <w:r>
              <w:rPr>
                <w:rFonts w:ascii="Calibri"/>
                <w:b/>
                <w:i/>
                <w:color w:val="FFFFFF"/>
                <w:w w:val="105"/>
                <w:sz w:val="21"/>
              </w:rPr>
              <w:t>consequence,</w:t>
            </w:r>
            <w:r>
              <w:rPr>
                <w:rFonts w:ascii="Calibri"/>
                <w:b/>
                <w:i/>
                <w:color w:val="FFFFFF"/>
                <w:spacing w:val="-19"/>
                <w:w w:val="105"/>
                <w:sz w:val="21"/>
              </w:rPr>
              <w:t xml:space="preserve"> </w:t>
            </w:r>
            <w:r>
              <w:rPr>
                <w:rFonts w:ascii="Calibri"/>
                <w:b/>
                <w:i/>
                <w:color w:val="FFFFFF"/>
                <w:spacing w:val="1"/>
                <w:w w:val="105"/>
                <w:sz w:val="21"/>
              </w:rPr>
              <w:t>comple</w:t>
            </w:r>
            <w:r>
              <w:rPr>
                <w:rFonts w:ascii="Calibri"/>
                <w:b/>
                <w:i/>
                <w:color w:val="FFFFFF"/>
                <w:w w:val="105"/>
                <w:sz w:val="21"/>
              </w:rPr>
              <w:t>x</w:t>
            </w:r>
            <w:r>
              <w:rPr>
                <w:rFonts w:ascii="Calibri"/>
                <w:b/>
                <w:i/>
                <w:color w:val="FFFFFF"/>
                <w:spacing w:val="-18"/>
                <w:w w:val="105"/>
                <w:sz w:val="21"/>
              </w:rPr>
              <w:t xml:space="preserve"> </w:t>
            </w:r>
            <w:r>
              <w:rPr>
                <w:rFonts w:ascii="Calibri"/>
                <w:b/>
                <w:i/>
                <w:color w:val="FFFFFF"/>
                <w:spacing w:val="-2"/>
                <w:w w:val="105"/>
                <w:sz w:val="21"/>
              </w:rPr>
              <w:t>e</w:t>
            </w:r>
            <w:r>
              <w:rPr>
                <w:rFonts w:ascii="Calibri"/>
                <w:b/>
                <w:i/>
                <w:color w:val="FFFFFF"/>
                <w:spacing w:val="-1"/>
                <w:w w:val="105"/>
                <w:sz w:val="21"/>
              </w:rPr>
              <w:t>v</w:t>
            </w:r>
            <w:r>
              <w:rPr>
                <w:rFonts w:ascii="Calibri"/>
                <w:b/>
                <w:i/>
                <w:color w:val="FFFFFF"/>
                <w:spacing w:val="-2"/>
                <w:w w:val="105"/>
                <w:sz w:val="21"/>
              </w:rPr>
              <w:t>e</w:t>
            </w:r>
            <w:r>
              <w:rPr>
                <w:rFonts w:ascii="Calibri"/>
                <w:b/>
                <w:i/>
                <w:color w:val="FFFFFF"/>
                <w:spacing w:val="-1"/>
                <w:w w:val="105"/>
                <w:sz w:val="21"/>
              </w:rPr>
              <w:t>n</w:t>
            </w:r>
            <w:r>
              <w:rPr>
                <w:rFonts w:ascii="Calibri"/>
                <w:b/>
                <w:i/>
                <w:color w:val="FFFFFF"/>
                <w:spacing w:val="-2"/>
                <w:w w:val="105"/>
                <w:sz w:val="21"/>
              </w:rPr>
              <w:t>t:</w:t>
            </w:r>
          </w:p>
        </w:tc>
        <w:tc>
          <w:tcPr>
            <w:tcW w:w="6805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nil"/>
            </w:tcBorders>
            <w:shd w:val="clear" w:color="auto" w:fill="E9E9EA"/>
          </w:tcPr>
          <w:p w14:paraId="7D6B0EA1" w14:textId="77777777" w:rsidR="00036C74" w:rsidRDefault="00036C74" w:rsidP="00566FE3">
            <w:pPr>
              <w:pStyle w:val="TableParagraph"/>
              <w:spacing w:before="57" w:line="264" w:lineRule="exact"/>
              <w:ind w:left="103" w:right="686"/>
              <w:rPr>
                <w:rFonts w:ascii="Calibri" w:eastAsia="Calibri" w:hAnsi="Calibri" w:cs="Calibri"/>
              </w:rPr>
            </w:pPr>
            <w:r>
              <w:rPr>
                <w:rFonts w:ascii="Calibri"/>
                <w:color w:val="231F20"/>
              </w:rPr>
              <w:t>Is</w:t>
            </w:r>
            <w:r>
              <w:rPr>
                <w:rFonts w:ascii="Calibri"/>
                <w:color w:val="231F20"/>
                <w:spacing w:val="4"/>
              </w:rPr>
              <w:t xml:space="preserve"> </w:t>
            </w:r>
            <w:r>
              <w:rPr>
                <w:rFonts w:ascii="Calibri"/>
                <w:color w:val="231F20"/>
              </w:rPr>
              <w:t>a</w:t>
            </w:r>
            <w:r>
              <w:rPr>
                <w:rFonts w:ascii="Calibri"/>
                <w:color w:val="231F20"/>
                <w:spacing w:val="5"/>
              </w:rPr>
              <w:t xml:space="preserve"> </w:t>
            </w:r>
            <w:r>
              <w:rPr>
                <w:rFonts w:ascii="Calibri"/>
                <w:color w:val="231F20"/>
                <w:spacing w:val="-2"/>
              </w:rPr>
              <w:t>Level</w:t>
            </w:r>
            <w:r>
              <w:rPr>
                <w:rFonts w:ascii="Calibri"/>
                <w:color w:val="231F20"/>
                <w:spacing w:val="4"/>
              </w:rPr>
              <w:t xml:space="preserve"> </w:t>
            </w:r>
            <w:r>
              <w:rPr>
                <w:rFonts w:ascii="Calibri"/>
                <w:color w:val="231F20"/>
              </w:rPr>
              <w:t>3</w:t>
            </w:r>
            <w:r>
              <w:rPr>
                <w:rFonts w:ascii="Calibri"/>
                <w:color w:val="231F20"/>
                <w:spacing w:val="5"/>
              </w:rPr>
              <w:t xml:space="preserve"> </w:t>
            </w:r>
            <w:r>
              <w:rPr>
                <w:rFonts w:ascii="Calibri"/>
                <w:color w:val="231F20"/>
                <w:spacing w:val="-1"/>
              </w:rPr>
              <w:t>incident</w:t>
            </w:r>
            <w:r>
              <w:rPr>
                <w:rFonts w:ascii="Calibri"/>
                <w:color w:val="231F20"/>
                <w:spacing w:val="5"/>
              </w:rPr>
              <w:t xml:space="preserve"> </w:t>
            </w:r>
            <w:r>
              <w:rPr>
                <w:rFonts w:ascii="Calibri"/>
                <w:color w:val="231F20"/>
              </w:rPr>
              <w:t>or</w:t>
            </w:r>
            <w:r>
              <w:rPr>
                <w:rFonts w:ascii="Calibri"/>
                <w:color w:val="231F20"/>
                <w:spacing w:val="4"/>
              </w:rPr>
              <w:t xml:space="preserve"> </w:t>
            </w:r>
            <w:r>
              <w:rPr>
                <w:rFonts w:ascii="Calibri"/>
                <w:color w:val="231F20"/>
                <w:spacing w:val="-1"/>
              </w:rPr>
              <w:t>equivalent</w:t>
            </w:r>
            <w:r>
              <w:rPr>
                <w:rFonts w:ascii="Calibri"/>
                <w:color w:val="231F20"/>
                <w:spacing w:val="5"/>
              </w:rPr>
              <w:t xml:space="preserve"> </w:t>
            </w:r>
            <w:r>
              <w:rPr>
                <w:rFonts w:ascii="Calibri"/>
                <w:color w:val="231F20"/>
              </w:rPr>
              <w:t>as</w:t>
            </w:r>
            <w:r>
              <w:rPr>
                <w:rFonts w:ascii="Calibri"/>
                <w:color w:val="231F20"/>
                <w:spacing w:val="5"/>
              </w:rPr>
              <w:t xml:space="preserve"> </w:t>
            </w:r>
            <w:r>
              <w:rPr>
                <w:rFonts w:ascii="Calibri"/>
                <w:color w:val="231F20"/>
              </w:rPr>
              <w:t>described</w:t>
            </w:r>
            <w:r>
              <w:rPr>
                <w:rFonts w:ascii="Calibri"/>
                <w:color w:val="231F20"/>
                <w:spacing w:val="4"/>
              </w:rPr>
              <w:t xml:space="preserve"> </w:t>
            </w:r>
            <w:r>
              <w:rPr>
                <w:rFonts w:ascii="Calibri"/>
                <w:color w:val="231F20"/>
              </w:rPr>
              <w:t>in</w:t>
            </w:r>
            <w:r>
              <w:rPr>
                <w:rFonts w:ascii="Calibri"/>
                <w:color w:val="231F20"/>
                <w:spacing w:val="5"/>
              </w:rPr>
              <w:t xml:space="preserve"> </w:t>
            </w:r>
            <w:r>
              <w:rPr>
                <w:rFonts w:ascii="Calibri"/>
                <w:color w:val="231F20"/>
              </w:rPr>
              <w:t>the</w:t>
            </w:r>
            <w:r>
              <w:rPr>
                <w:rFonts w:ascii="Calibri"/>
                <w:color w:val="231F20"/>
                <w:spacing w:val="5"/>
              </w:rPr>
              <w:t xml:space="preserve"> </w:t>
            </w:r>
            <w:r>
              <w:rPr>
                <w:rFonts w:ascii="Calibri"/>
                <w:color w:val="231F20"/>
              </w:rPr>
              <w:t>AIIMS</w:t>
            </w:r>
            <w:r>
              <w:rPr>
                <w:rFonts w:ascii="Calibri"/>
                <w:color w:val="231F20"/>
                <w:spacing w:val="4"/>
              </w:rPr>
              <w:t xml:space="preserve"> </w:t>
            </w:r>
            <w:r>
              <w:rPr>
                <w:rFonts w:ascii="Calibri"/>
                <w:color w:val="231F20"/>
              </w:rPr>
              <w:t>Manual</w:t>
            </w:r>
            <w:r>
              <w:rPr>
                <w:rFonts w:ascii="Calibri"/>
                <w:color w:val="231F20"/>
                <w:spacing w:val="5"/>
              </w:rPr>
              <w:t xml:space="preserve"> </w:t>
            </w:r>
            <w:r>
              <w:rPr>
                <w:rFonts w:ascii="Calibri"/>
                <w:color w:val="231F20"/>
              </w:rPr>
              <w:t>and</w:t>
            </w:r>
            <w:r>
              <w:rPr>
                <w:rFonts w:ascii="Calibri"/>
                <w:color w:val="231F20"/>
                <w:spacing w:val="4"/>
              </w:rPr>
              <w:t xml:space="preserve"> </w:t>
            </w:r>
            <w:r>
              <w:rPr>
                <w:rFonts w:ascii="Calibri"/>
                <w:color w:val="231F20"/>
              </w:rPr>
              <w:t>as</w:t>
            </w:r>
            <w:r>
              <w:rPr>
                <w:rFonts w:ascii="Calibri"/>
                <w:color w:val="231F20"/>
                <w:spacing w:val="39"/>
              </w:rPr>
              <w:t xml:space="preserve"> </w:t>
            </w:r>
            <w:r>
              <w:rPr>
                <w:rFonts w:ascii="Calibri"/>
                <w:color w:val="231F20"/>
                <w:spacing w:val="-1"/>
              </w:rPr>
              <w:t>det</w:t>
            </w:r>
            <w:r>
              <w:rPr>
                <w:rFonts w:ascii="Calibri"/>
                <w:color w:val="231F20"/>
                <w:spacing w:val="-2"/>
              </w:rPr>
              <w:t>er</w:t>
            </w:r>
            <w:r>
              <w:rPr>
                <w:rFonts w:ascii="Calibri"/>
                <w:color w:val="231F20"/>
                <w:spacing w:val="-1"/>
              </w:rPr>
              <w:t>mined</w:t>
            </w:r>
            <w:r>
              <w:rPr>
                <w:rFonts w:ascii="Calibri"/>
                <w:color w:val="231F20"/>
                <w:spacing w:val="10"/>
              </w:rPr>
              <w:t xml:space="preserve"> </w:t>
            </w:r>
            <w:r>
              <w:rPr>
                <w:rFonts w:ascii="Calibri"/>
                <w:color w:val="231F20"/>
                <w:spacing w:val="-1"/>
              </w:rPr>
              <w:t>by</w:t>
            </w:r>
            <w:r>
              <w:rPr>
                <w:rFonts w:ascii="Calibri"/>
                <w:color w:val="231F20"/>
                <w:spacing w:val="11"/>
              </w:rPr>
              <w:t xml:space="preserve"> </w:t>
            </w:r>
            <w:r>
              <w:rPr>
                <w:rFonts w:ascii="Calibri"/>
                <w:color w:val="231F20"/>
              </w:rPr>
              <w:t>the</w:t>
            </w:r>
            <w:r>
              <w:rPr>
                <w:rFonts w:ascii="Calibri"/>
                <w:color w:val="231F20"/>
                <w:spacing w:val="11"/>
              </w:rPr>
              <w:t xml:space="preserve"> </w:t>
            </w:r>
            <w:r>
              <w:rPr>
                <w:rFonts w:ascii="Calibri"/>
                <w:color w:val="231F20"/>
                <w:spacing w:val="-2"/>
              </w:rPr>
              <w:t>Panel</w:t>
            </w:r>
            <w:r>
              <w:rPr>
                <w:rFonts w:ascii="Calibri"/>
                <w:color w:val="231F20"/>
                <w:spacing w:val="-3"/>
              </w:rPr>
              <w:t>.</w:t>
            </w:r>
          </w:p>
        </w:tc>
      </w:tr>
      <w:tr w:rsidR="00036C74" w14:paraId="4693F1EE" w14:textId="77777777" w:rsidTr="4D59AEB7">
        <w:trPr>
          <w:trHeight w:hRule="exact" w:val="1154"/>
        </w:trPr>
        <w:tc>
          <w:tcPr>
            <w:tcW w:w="3005" w:type="dxa"/>
            <w:tcBorders>
              <w:top w:val="single" w:sz="8" w:space="0" w:color="FFFFFF" w:themeColor="background1"/>
              <w:left w:val="nil"/>
              <w:bottom w:val="nil"/>
              <w:right w:val="single" w:sz="8" w:space="0" w:color="FFFFFF" w:themeColor="background1"/>
            </w:tcBorders>
            <w:shd w:val="clear" w:color="auto" w:fill="4E5698"/>
          </w:tcPr>
          <w:p w14:paraId="70298636" w14:textId="77777777" w:rsidR="00036C74" w:rsidRDefault="00036C74" w:rsidP="00A009AB">
            <w:pPr>
              <w:pStyle w:val="TableParagraph"/>
              <w:spacing w:before="59" w:line="252" w:lineRule="exact"/>
              <w:ind w:left="113" w:right="787"/>
              <w:rPr>
                <w:rFonts w:ascii="Calibri" w:eastAsia="Calibri" w:hAnsi="Calibri" w:cs="Calibri"/>
                <w:sz w:val="21"/>
                <w:szCs w:val="21"/>
              </w:rPr>
            </w:pPr>
            <w:r>
              <w:rPr>
                <w:rFonts w:ascii="Calibri" w:eastAsia="Calibri" w:hAnsi="Calibri" w:cs="Calibri"/>
                <w:b/>
                <w:bCs/>
                <w:i/>
                <w:color w:val="FFFFFF"/>
                <w:w w:val="105"/>
                <w:sz w:val="21"/>
                <w:szCs w:val="21"/>
              </w:rPr>
              <w:t>Equivalent</w:t>
            </w:r>
            <w:r>
              <w:rPr>
                <w:rFonts w:ascii="Calibri" w:eastAsia="Calibri" w:hAnsi="Calibri" w:cs="Calibri"/>
                <w:b/>
                <w:bCs/>
                <w:i/>
                <w:color w:val="FFFFFF"/>
                <w:spacing w:val="-20"/>
                <w:w w:val="105"/>
                <w:sz w:val="21"/>
                <w:szCs w:val="21"/>
              </w:rPr>
              <w:t xml:space="preserve"> </w:t>
            </w:r>
            <w:r w:rsidR="00A009AB">
              <w:rPr>
                <w:rFonts w:ascii="Calibri" w:eastAsia="Calibri" w:hAnsi="Calibri" w:cs="Calibri"/>
                <w:b/>
                <w:bCs/>
                <w:i/>
                <w:color w:val="FFFFFF"/>
                <w:w w:val="105"/>
                <w:sz w:val="21"/>
                <w:szCs w:val="21"/>
              </w:rPr>
              <w:t>three</w:t>
            </w:r>
            <w:r>
              <w:rPr>
                <w:rFonts w:ascii="Calibri" w:eastAsia="Calibri" w:hAnsi="Calibri" w:cs="Calibri"/>
                <w:b/>
                <w:bCs/>
                <w:i/>
                <w:color w:val="FFFFFF"/>
                <w:spacing w:val="-19"/>
                <w:w w:val="105"/>
                <w:sz w:val="21"/>
                <w:szCs w:val="21"/>
              </w:rPr>
              <w:t xml:space="preserve"> </w:t>
            </w:r>
            <w:r w:rsidR="00BC76FB">
              <w:rPr>
                <w:rFonts w:ascii="Calibri" w:eastAsia="Calibri" w:hAnsi="Calibri" w:cs="Calibri"/>
                <w:b/>
                <w:bCs/>
                <w:i/>
                <w:color w:val="FFFFFF"/>
                <w:w w:val="105"/>
                <w:sz w:val="21"/>
                <w:szCs w:val="21"/>
              </w:rPr>
              <w:t>years’ experience</w:t>
            </w:r>
            <w:r>
              <w:rPr>
                <w:rFonts w:ascii="Calibri" w:eastAsia="Calibri" w:hAnsi="Calibri" w:cs="Calibri"/>
                <w:b/>
                <w:bCs/>
                <w:i/>
                <w:color w:val="FFFFFF"/>
                <w:w w:val="105"/>
                <w:sz w:val="21"/>
                <w:szCs w:val="21"/>
              </w:rPr>
              <w:t>:</w:t>
            </w:r>
          </w:p>
        </w:tc>
        <w:tc>
          <w:tcPr>
            <w:tcW w:w="6805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nil"/>
              <w:right w:val="nil"/>
            </w:tcBorders>
            <w:shd w:val="clear" w:color="auto" w:fill="F2F3F3"/>
          </w:tcPr>
          <w:p w14:paraId="040ECB25" w14:textId="6C0E445A" w:rsidR="00036C74" w:rsidRDefault="00036C74" w:rsidP="00A009AB">
            <w:pPr>
              <w:pStyle w:val="TableParagraph"/>
              <w:spacing w:before="57" w:line="264" w:lineRule="exact"/>
              <w:ind w:left="103" w:right="476"/>
              <w:rPr>
                <w:rFonts w:ascii="Calibri" w:eastAsia="Calibri" w:hAnsi="Calibri" w:cs="Calibri"/>
              </w:rPr>
            </w:pPr>
            <w:r>
              <w:rPr>
                <w:rFonts w:ascii="Calibri"/>
                <w:color w:val="231F20"/>
              </w:rPr>
              <w:t>Is</w:t>
            </w:r>
            <w:r>
              <w:rPr>
                <w:rFonts w:ascii="Calibri"/>
                <w:color w:val="231F20"/>
                <w:spacing w:val="11"/>
              </w:rPr>
              <w:t xml:space="preserve"> </w:t>
            </w:r>
            <w:r>
              <w:rPr>
                <w:rFonts w:ascii="Calibri"/>
                <w:color w:val="231F20"/>
              </w:rPr>
              <w:t>the</w:t>
            </w:r>
            <w:r>
              <w:rPr>
                <w:rFonts w:ascii="Calibri"/>
                <w:color w:val="231F20"/>
                <w:spacing w:val="11"/>
              </w:rPr>
              <w:t xml:space="preserve"> </w:t>
            </w:r>
            <w:r>
              <w:rPr>
                <w:rFonts w:ascii="Calibri"/>
                <w:color w:val="231F20"/>
              </w:rPr>
              <w:t>performance</w:t>
            </w:r>
            <w:r w:rsidRPr="00AB5607">
              <w:rPr>
                <w:rFonts w:ascii="Calibri"/>
                <w:color w:val="231F20"/>
              </w:rPr>
              <w:t xml:space="preserve"> </w:t>
            </w:r>
            <w:r>
              <w:rPr>
                <w:rFonts w:ascii="Calibri"/>
                <w:color w:val="231F20"/>
              </w:rPr>
              <w:t>of</w:t>
            </w:r>
            <w:r w:rsidRPr="00AB5607">
              <w:rPr>
                <w:rFonts w:ascii="Calibri"/>
                <w:color w:val="231F20"/>
              </w:rPr>
              <w:t xml:space="preserve"> </w:t>
            </w:r>
            <w:r w:rsidR="001F5125">
              <w:rPr>
                <w:rFonts w:ascii="Calibri"/>
                <w:color w:val="231F20"/>
              </w:rPr>
              <w:t>planning</w:t>
            </w:r>
            <w:r w:rsidRPr="00AB5607">
              <w:rPr>
                <w:rFonts w:ascii="Calibri"/>
                <w:color w:val="231F20"/>
              </w:rPr>
              <w:t xml:space="preserve"> roles </w:t>
            </w:r>
            <w:r w:rsidR="00CE6A1E" w:rsidRPr="00AB5607">
              <w:rPr>
                <w:rFonts w:ascii="Calibri"/>
                <w:color w:val="231F20"/>
              </w:rPr>
              <w:t>in connection with emergency incident</w:t>
            </w:r>
            <w:r w:rsidR="00A009AB">
              <w:rPr>
                <w:rFonts w:ascii="Calibri"/>
                <w:color w:val="231F20"/>
              </w:rPr>
              <w:t>s</w:t>
            </w:r>
            <w:r w:rsidR="00CE6A1E" w:rsidRPr="00AB5607">
              <w:rPr>
                <w:rFonts w:ascii="Calibri"/>
                <w:color w:val="231F20"/>
              </w:rPr>
              <w:t xml:space="preserve"> </w:t>
            </w:r>
            <w:r>
              <w:rPr>
                <w:rFonts w:ascii="Calibri"/>
                <w:color w:val="231F20"/>
              </w:rPr>
              <w:t>during</w:t>
            </w:r>
            <w:r w:rsidRPr="00AB5607">
              <w:rPr>
                <w:rFonts w:ascii="Calibri"/>
                <w:color w:val="231F20"/>
              </w:rPr>
              <w:t xml:space="preserve"> </w:t>
            </w:r>
            <w:r>
              <w:rPr>
                <w:rFonts w:ascii="Calibri"/>
                <w:color w:val="231F20"/>
              </w:rPr>
              <w:t>periods</w:t>
            </w:r>
            <w:r w:rsidRPr="00AB5607">
              <w:rPr>
                <w:rFonts w:ascii="Calibri"/>
                <w:color w:val="231F20"/>
              </w:rPr>
              <w:t xml:space="preserve"> </w:t>
            </w:r>
            <w:r>
              <w:rPr>
                <w:rFonts w:ascii="Calibri"/>
                <w:color w:val="231F20"/>
              </w:rPr>
              <w:t>of</w:t>
            </w:r>
            <w:r w:rsidRPr="00AB5607">
              <w:rPr>
                <w:rFonts w:ascii="Calibri"/>
                <w:color w:val="231F20"/>
              </w:rPr>
              <w:t xml:space="preserve"> </w:t>
            </w:r>
            <w:r>
              <w:rPr>
                <w:rFonts w:ascii="Calibri"/>
                <w:color w:val="231F20"/>
              </w:rPr>
              <w:t>above-normal</w:t>
            </w:r>
            <w:r w:rsidRPr="00AB5607">
              <w:rPr>
                <w:rFonts w:ascii="Calibri"/>
                <w:color w:val="231F20"/>
              </w:rPr>
              <w:t xml:space="preserve"> </w:t>
            </w:r>
            <w:r>
              <w:rPr>
                <w:rFonts w:ascii="Calibri"/>
                <w:color w:val="231F20"/>
              </w:rPr>
              <w:t>activity</w:t>
            </w:r>
            <w:r w:rsidR="00CE6A1E" w:rsidRPr="00CE6A1E">
              <w:rPr>
                <w:rFonts w:ascii="Calibri"/>
                <w:color w:val="231F20"/>
              </w:rPr>
              <w:t xml:space="preserve">, which is </w:t>
            </w:r>
            <w:commentRangeStart w:id="0"/>
            <w:r w:rsidR="00CE6A1E" w:rsidRPr="00CE6A1E">
              <w:rPr>
                <w:rFonts w:ascii="Calibri"/>
                <w:color w:val="231F20"/>
              </w:rPr>
              <w:t xml:space="preserve">sufficiently recent </w:t>
            </w:r>
            <w:commentRangeEnd w:id="0"/>
            <w:r w:rsidR="009661F7">
              <w:rPr>
                <w:rStyle w:val="CommentReference"/>
                <w:rFonts w:ascii="Calibri" w:eastAsiaTheme="minorEastAsia" w:hAnsi="Calibri" w:cs="Times New Roman"/>
                <w:lang w:val="en-AU"/>
              </w:rPr>
              <w:commentReference w:id="0"/>
            </w:r>
            <w:r w:rsidR="00CE6A1E" w:rsidRPr="00CE6A1E">
              <w:rPr>
                <w:rFonts w:ascii="Calibri"/>
                <w:color w:val="231F20"/>
              </w:rPr>
              <w:t>to demonstrate current competency,</w:t>
            </w:r>
            <w:r>
              <w:rPr>
                <w:rFonts w:ascii="Calibri"/>
                <w:color w:val="231F20"/>
                <w:spacing w:val="7"/>
              </w:rPr>
              <w:t xml:space="preserve"> </w:t>
            </w:r>
            <w:r>
              <w:rPr>
                <w:rFonts w:ascii="Calibri"/>
                <w:color w:val="231F20"/>
              </w:rPr>
              <w:t>as</w:t>
            </w:r>
            <w:r>
              <w:rPr>
                <w:rFonts w:ascii="Calibri"/>
                <w:color w:val="231F20"/>
                <w:spacing w:val="7"/>
              </w:rPr>
              <w:t xml:space="preserve"> </w:t>
            </w:r>
            <w:r>
              <w:rPr>
                <w:rFonts w:ascii="Calibri"/>
                <w:color w:val="231F20"/>
                <w:spacing w:val="-1"/>
              </w:rPr>
              <w:t>det</w:t>
            </w:r>
            <w:r>
              <w:rPr>
                <w:rFonts w:ascii="Calibri"/>
                <w:color w:val="231F20"/>
                <w:spacing w:val="-2"/>
              </w:rPr>
              <w:t>er</w:t>
            </w:r>
            <w:r>
              <w:rPr>
                <w:rFonts w:ascii="Calibri"/>
                <w:color w:val="231F20"/>
                <w:spacing w:val="-1"/>
              </w:rPr>
              <w:t>mined</w:t>
            </w:r>
            <w:r>
              <w:rPr>
                <w:rFonts w:ascii="Calibri"/>
                <w:color w:val="231F20"/>
                <w:spacing w:val="7"/>
              </w:rPr>
              <w:t xml:space="preserve"> </w:t>
            </w:r>
            <w:r>
              <w:rPr>
                <w:rFonts w:ascii="Calibri"/>
                <w:color w:val="231F20"/>
                <w:spacing w:val="-1"/>
              </w:rPr>
              <w:t>by</w:t>
            </w:r>
            <w:r>
              <w:rPr>
                <w:rFonts w:ascii="Calibri"/>
                <w:color w:val="231F20"/>
                <w:spacing w:val="8"/>
              </w:rPr>
              <w:t xml:space="preserve"> </w:t>
            </w:r>
            <w:r>
              <w:rPr>
                <w:rFonts w:ascii="Calibri"/>
                <w:color w:val="231F20"/>
              </w:rPr>
              <w:t>the</w:t>
            </w:r>
            <w:r>
              <w:rPr>
                <w:rFonts w:ascii="Calibri"/>
                <w:color w:val="231F20"/>
                <w:spacing w:val="7"/>
              </w:rPr>
              <w:t xml:space="preserve"> </w:t>
            </w:r>
            <w:r>
              <w:rPr>
                <w:rFonts w:ascii="Calibri"/>
                <w:color w:val="231F20"/>
                <w:spacing w:val="-2"/>
              </w:rPr>
              <w:t>Panel</w:t>
            </w:r>
            <w:r>
              <w:rPr>
                <w:rFonts w:ascii="Calibri"/>
                <w:color w:val="231F20"/>
                <w:spacing w:val="-3"/>
              </w:rPr>
              <w:t>.</w:t>
            </w:r>
          </w:p>
        </w:tc>
      </w:tr>
      <w:tr w:rsidR="4D59AEB7" w14:paraId="44786B8E" w14:textId="77777777" w:rsidTr="4D59AEB7">
        <w:trPr>
          <w:trHeight w:val="300"/>
        </w:trPr>
        <w:tc>
          <w:tcPr>
            <w:tcW w:w="3005" w:type="dxa"/>
            <w:tcBorders>
              <w:top w:val="single" w:sz="8" w:space="0" w:color="FFFFFF" w:themeColor="background1"/>
              <w:left w:val="nil"/>
              <w:bottom w:val="nil"/>
              <w:right w:val="single" w:sz="8" w:space="0" w:color="FFFFFF" w:themeColor="background1"/>
            </w:tcBorders>
            <w:shd w:val="clear" w:color="auto" w:fill="4E5698"/>
          </w:tcPr>
          <w:p w14:paraId="76414F79" w14:textId="61C63968" w:rsidR="163A0D43" w:rsidRDefault="163A0D43" w:rsidP="4D59AEB7">
            <w:pPr>
              <w:pStyle w:val="TableParagraph"/>
              <w:spacing w:before="59" w:line="252" w:lineRule="exact"/>
              <w:ind w:left="113" w:right="787"/>
              <w:rPr>
                <w:rFonts w:ascii="Calibri" w:eastAsia="Calibri" w:hAnsi="Calibri" w:cs="Calibri"/>
                <w:b/>
                <w:bCs/>
                <w:i/>
                <w:iCs/>
                <w:color w:val="FFFFFF" w:themeColor="background1"/>
                <w:sz w:val="21"/>
                <w:szCs w:val="21"/>
              </w:rPr>
            </w:pPr>
            <w:r w:rsidRPr="4D59AEB7">
              <w:rPr>
                <w:rFonts w:ascii="Calibri" w:eastAsia="Calibri" w:hAnsi="Calibri" w:cs="Calibri"/>
                <w:b/>
                <w:bCs/>
                <w:i/>
                <w:iCs/>
                <w:color w:val="FFFFFF" w:themeColor="background1"/>
                <w:sz w:val="21"/>
                <w:szCs w:val="21"/>
              </w:rPr>
              <w:t>Instance:</w:t>
            </w:r>
          </w:p>
        </w:tc>
        <w:tc>
          <w:tcPr>
            <w:tcW w:w="6805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nil"/>
              <w:right w:val="nil"/>
            </w:tcBorders>
            <w:shd w:val="clear" w:color="auto" w:fill="F2F3F3"/>
          </w:tcPr>
          <w:p w14:paraId="6FFA87BE" w14:textId="70650946" w:rsidR="163A0D43" w:rsidRDefault="163A0D43" w:rsidP="4D59AEB7">
            <w:pPr>
              <w:spacing w:before="57" w:line="264" w:lineRule="exact"/>
              <w:ind w:left="103" w:right="476"/>
              <w:rPr>
                <w:lang w:val="en-US"/>
              </w:rPr>
            </w:pPr>
            <w:r w:rsidRPr="4D59AEB7">
              <w:rPr>
                <w:rFonts w:eastAsia="Calibri" w:cs="Calibri"/>
                <w:color w:val="231F20"/>
                <w:szCs w:val="22"/>
                <w:lang w:val="en-US"/>
              </w:rPr>
              <w:t>An operational incident, an exercise involving a realistic simulation of an operational incident, or an incident management team activated in anticipation of an operational incident.</w:t>
            </w:r>
          </w:p>
        </w:tc>
      </w:tr>
    </w:tbl>
    <w:p w14:paraId="34B506BC" w14:textId="77777777" w:rsidR="00036C74" w:rsidRDefault="00036C74" w:rsidP="00036C74">
      <w:pPr>
        <w:pStyle w:val="Heading3"/>
      </w:pPr>
      <w:r w:rsidRPr="00036C74">
        <w:t>Review</w:t>
      </w:r>
    </w:p>
    <w:p w14:paraId="7EFD0F09" w14:textId="1A5C2CFA" w:rsidR="00143673" w:rsidRDefault="00036C74">
      <w:pPr>
        <w:rPr>
          <w:lang w:val="en-GB" w:eastAsia="ja-JP"/>
        </w:rPr>
      </w:pPr>
      <w:r w:rsidRPr="7C1738AB">
        <w:rPr>
          <w:lang w:val="en-GB" w:eastAsia="ja-JP"/>
        </w:rPr>
        <w:t xml:space="preserve">This standard will commence </w:t>
      </w:r>
      <w:r w:rsidR="4F7A2045" w:rsidRPr="7C1738AB">
        <w:rPr>
          <w:lang w:val="en-GB" w:eastAsia="ja-JP"/>
        </w:rPr>
        <w:t>June</w:t>
      </w:r>
      <w:r w:rsidRPr="7C1738AB">
        <w:rPr>
          <w:lang w:val="en-GB" w:eastAsia="ja-JP"/>
        </w:rPr>
        <w:t xml:space="preserve"> 20</w:t>
      </w:r>
      <w:r w:rsidR="009661F7" w:rsidRPr="7C1738AB">
        <w:rPr>
          <w:lang w:val="en-GB" w:eastAsia="ja-JP"/>
        </w:rPr>
        <w:t>24</w:t>
      </w:r>
      <w:r w:rsidRPr="7C1738AB">
        <w:rPr>
          <w:lang w:val="en-GB" w:eastAsia="ja-JP"/>
        </w:rPr>
        <w:t xml:space="preserve">. The Panel will review this standard </w:t>
      </w:r>
      <w:r w:rsidR="002872D2" w:rsidRPr="7C1738AB">
        <w:rPr>
          <w:lang w:val="en-GB" w:eastAsia="ja-JP"/>
        </w:rPr>
        <w:t>after five years or as required</w:t>
      </w:r>
    </w:p>
    <w:p w14:paraId="3A5EA8F5" w14:textId="77777777" w:rsidR="00143673" w:rsidRDefault="00143673" w:rsidP="00143673">
      <w:pPr>
        <w:pStyle w:val="Heading3"/>
      </w:pPr>
      <w:r>
        <w:t>Related professional standards</w:t>
      </w:r>
    </w:p>
    <w:p w14:paraId="5C84A368" w14:textId="0FD71826" w:rsidR="00143673" w:rsidRPr="00036C74" w:rsidRDefault="00143673" w:rsidP="00143673">
      <w:pPr>
        <w:pStyle w:val="ListParagraph"/>
        <w:numPr>
          <w:ilvl w:val="0"/>
          <w:numId w:val="8"/>
        </w:numPr>
        <w:rPr>
          <w:lang w:val="en-GB" w:eastAsia="ja-JP"/>
        </w:rPr>
      </w:pPr>
      <w:r w:rsidRPr="6070C7FB">
        <w:rPr>
          <w:lang w:val="en-GB" w:eastAsia="ja-JP"/>
        </w:rPr>
        <w:t>Code of Ethics (2023).</w:t>
      </w:r>
    </w:p>
    <w:p w14:paraId="677DB5E7" w14:textId="5B9110E5" w:rsidR="00143673" w:rsidRPr="00BC76FB" w:rsidRDefault="00143673" w:rsidP="00143673">
      <w:pPr>
        <w:pStyle w:val="ListParagraph"/>
        <w:numPr>
          <w:ilvl w:val="0"/>
          <w:numId w:val="8"/>
        </w:numPr>
        <w:rPr>
          <w:lang w:val="en-GB" w:eastAsia="ja-JP"/>
        </w:rPr>
      </w:pPr>
      <w:r w:rsidRPr="6070C7FB">
        <w:rPr>
          <w:lang w:val="en-GB" w:eastAsia="ja-JP"/>
        </w:rPr>
        <w:t>Professional Standard: Certified Planning Officer Capabilities (2024).</w:t>
      </w:r>
    </w:p>
    <w:p w14:paraId="5CB8590D" w14:textId="2D88677B" w:rsidR="00143673" w:rsidRDefault="00143673" w:rsidP="00143673">
      <w:pPr>
        <w:pStyle w:val="ListParagraph"/>
        <w:numPr>
          <w:ilvl w:val="0"/>
          <w:numId w:val="8"/>
        </w:numPr>
        <w:rPr>
          <w:lang w:val="en-GB" w:eastAsia="ja-JP"/>
        </w:rPr>
      </w:pPr>
      <w:r w:rsidRPr="6070C7FB">
        <w:rPr>
          <w:lang w:val="en-GB" w:eastAsia="ja-JP"/>
        </w:rPr>
        <w:t>Professional Standard: Continuing Professional Development (2023).</w:t>
      </w:r>
    </w:p>
    <w:p w14:paraId="7E2372FC" w14:textId="4A24FFA7" w:rsidR="006D392C" w:rsidRPr="006D392C" w:rsidRDefault="006D392C" w:rsidP="00113541">
      <w:pPr>
        <w:rPr>
          <w:lang w:val="en-GB" w:eastAsia="ja-JP"/>
        </w:rPr>
      </w:pPr>
    </w:p>
    <w:sectPr w:rsidR="006D392C" w:rsidRPr="006D392C" w:rsidSect="00D61E6E">
      <w:headerReference w:type="default" r:id="rId14"/>
      <w:footerReference w:type="even" r:id="rId15"/>
      <w:footerReference w:type="default" r:id="rId16"/>
      <w:pgSz w:w="11900" w:h="16840"/>
      <w:pgMar w:top="1134" w:right="1247" w:bottom="993" w:left="1247" w:header="709" w:footer="396" w:gutter="0"/>
      <w:cols w:space="708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comment w:id="0" w:author="Carrie Jones" w:date="2023-11-22T14:20:00Z" w:initials="CJ">
    <w:p w14:paraId="4C26DF34" w14:textId="77777777" w:rsidR="009661F7" w:rsidRDefault="009661F7" w:rsidP="00FA7A12">
      <w:pPr>
        <w:pStyle w:val="CommentText"/>
      </w:pPr>
      <w:r>
        <w:rPr>
          <w:rStyle w:val="CommentReference"/>
        </w:rPr>
        <w:annotationRef/>
      </w:r>
      <w:r>
        <w:t>Do we need to specify timeframes for recency?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commentEx w15:paraId="4C26DF34" w15:done="1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22352187" w16cex:dateUtc="2023-11-22T03:20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4C26DF34" w16cid:durableId="22352187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DEBF97" w14:textId="77777777" w:rsidR="000250D5" w:rsidRDefault="000250D5" w:rsidP="00AD588C">
      <w:r>
        <w:separator/>
      </w:r>
    </w:p>
  </w:endnote>
  <w:endnote w:type="continuationSeparator" w:id="0">
    <w:p w14:paraId="1D1BCFAC" w14:textId="77777777" w:rsidR="000250D5" w:rsidRDefault="000250D5" w:rsidP="00AD58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yriadPro-Bold">
    <w:altName w:val="Calibri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Lucida Grande">
    <w:altName w:val="Segoe UI"/>
    <w:charset w:val="00"/>
    <w:family w:val="auto"/>
    <w:pitch w:val="variable"/>
    <w:sig w:usb0="00000003" w:usb1="00000000" w:usb2="00000000" w:usb3="00000000" w:csb0="00000001" w:csb1="00000000"/>
  </w:font>
  <w:font w:name="MyriadPro-Regular">
    <w:altName w:val="Calibri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MyriadPro-It">
    <w:altName w:val="Myriad Pro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858661" w14:textId="77777777" w:rsidR="00AD588C" w:rsidRDefault="00AD588C" w:rsidP="001846EC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638121DC" w14:textId="77777777" w:rsidR="00AD588C" w:rsidRDefault="00AD588C" w:rsidP="00AD588C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7A2820" w14:textId="7081231E" w:rsidR="00AD588C" w:rsidRPr="001B05BF" w:rsidRDefault="00AD588C" w:rsidP="001846EC">
    <w:pPr>
      <w:pStyle w:val="Footer"/>
      <w:framePr w:wrap="around" w:vAnchor="text" w:hAnchor="margin" w:xAlign="right" w:y="1"/>
      <w:rPr>
        <w:rStyle w:val="PageNumber"/>
        <w:color w:val="0033A0"/>
        <w:sz w:val="18"/>
        <w:szCs w:val="18"/>
      </w:rPr>
    </w:pPr>
    <w:r w:rsidRPr="001B05BF">
      <w:rPr>
        <w:rStyle w:val="PageNumber"/>
        <w:color w:val="0033A0"/>
        <w:sz w:val="18"/>
        <w:szCs w:val="18"/>
      </w:rPr>
      <w:fldChar w:fldCharType="begin"/>
    </w:r>
    <w:r w:rsidRPr="001B05BF">
      <w:rPr>
        <w:rStyle w:val="PageNumber"/>
        <w:color w:val="0033A0"/>
        <w:sz w:val="18"/>
        <w:szCs w:val="18"/>
      </w:rPr>
      <w:instrText xml:space="preserve">PAGE  </w:instrText>
    </w:r>
    <w:r w:rsidRPr="001B05BF">
      <w:rPr>
        <w:rStyle w:val="PageNumber"/>
        <w:color w:val="0033A0"/>
        <w:sz w:val="18"/>
        <w:szCs w:val="18"/>
      </w:rPr>
      <w:fldChar w:fldCharType="separate"/>
    </w:r>
    <w:r w:rsidR="00F86377">
      <w:rPr>
        <w:rStyle w:val="PageNumber"/>
        <w:noProof/>
        <w:color w:val="0033A0"/>
        <w:sz w:val="18"/>
        <w:szCs w:val="18"/>
      </w:rPr>
      <w:t>1</w:t>
    </w:r>
    <w:r w:rsidRPr="001B05BF">
      <w:rPr>
        <w:rStyle w:val="PageNumber"/>
        <w:color w:val="0033A0"/>
        <w:sz w:val="18"/>
        <w:szCs w:val="18"/>
      </w:rPr>
      <w:fldChar w:fldCharType="end"/>
    </w:r>
  </w:p>
  <w:p w14:paraId="26623376" w14:textId="031E10F1" w:rsidR="006D392C" w:rsidRDefault="007C746B" w:rsidP="006D392C">
    <w:pPr>
      <w:spacing w:line="211" w:lineRule="exact"/>
      <w:ind w:left="20"/>
      <w:rPr>
        <w:rFonts w:eastAsia="Calibri" w:cs="Calibri"/>
        <w:sz w:val="18"/>
        <w:szCs w:val="18"/>
      </w:rPr>
    </w:pPr>
    <w:r>
      <w:rPr>
        <w:color w:val="0054A6"/>
        <w:spacing w:val="1"/>
        <w:sz w:val="18"/>
      </w:rPr>
      <w:t>Professional</w:t>
    </w:r>
    <w:r>
      <w:rPr>
        <w:color w:val="0054A6"/>
        <w:spacing w:val="39"/>
        <w:sz w:val="18"/>
      </w:rPr>
      <w:t xml:space="preserve"> </w:t>
    </w:r>
    <w:r>
      <w:rPr>
        <w:color w:val="0054A6"/>
        <w:spacing w:val="1"/>
        <w:sz w:val="18"/>
      </w:rPr>
      <w:t>Standard:</w:t>
    </w:r>
    <w:r>
      <w:rPr>
        <w:color w:val="0054A6"/>
        <w:spacing w:val="35"/>
        <w:sz w:val="18"/>
      </w:rPr>
      <w:t xml:space="preserve"> </w:t>
    </w:r>
    <w:r>
      <w:rPr>
        <w:color w:val="0054A6"/>
        <w:spacing w:val="1"/>
        <w:sz w:val="18"/>
      </w:rPr>
      <w:t xml:space="preserve">Certified </w:t>
    </w:r>
    <w:r w:rsidR="00FE078B">
      <w:rPr>
        <w:color w:val="0054A6"/>
        <w:spacing w:val="1"/>
        <w:sz w:val="18"/>
      </w:rPr>
      <w:t>Planning</w:t>
    </w:r>
    <w:r>
      <w:rPr>
        <w:color w:val="0054A6"/>
        <w:spacing w:val="1"/>
        <w:sz w:val="18"/>
      </w:rPr>
      <w:t xml:space="preserve"> Officer</w:t>
    </w:r>
    <w:r>
      <w:rPr>
        <w:color w:val="0054A6"/>
        <w:spacing w:val="35"/>
        <w:sz w:val="18"/>
      </w:rPr>
      <w:t xml:space="preserve"> </w:t>
    </w:r>
    <w:r>
      <w:rPr>
        <w:color w:val="0054A6"/>
        <w:spacing w:val="3"/>
        <w:sz w:val="18"/>
      </w:rPr>
      <w:t>Requirements</w:t>
    </w:r>
  </w:p>
  <w:p w14:paraId="205CF58F" w14:textId="77777777" w:rsidR="001B05BF" w:rsidRPr="001B05BF" w:rsidRDefault="001B05BF" w:rsidP="006D392C">
    <w:pPr>
      <w:pStyle w:val="Footer"/>
      <w:ind w:right="360"/>
      <w:rPr>
        <w:rFonts w:asciiTheme="majorHAnsi" w:hAnsiTheme="majorHAnsi"/>
        <w:color w:val="0033A0"/>
        <w:sz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9E21FF" w14:textId="77777777" w:rsidR="000250D5" w:rsidRDefault="000250D5" w:rsidP="00AD588C">
      <w:r>
        <w:separator/>
      </w:r>
    </w:p>
  </w:footnote>
  <w:footnote w:type="continuationSeparator" w:id="0">
    <w:p w14:paraId="0699729C" w14:textId="77777777" w:rsidR="000250D5" w:rsidRDefault="000250D5" w:rsidP="00AD588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254805" w14:textId="3D093888" w:rsidR="00AD588C" w:rsidRDefault="00D61E6E" w:rsidP="4D59AEB7">
    <w:pPr>
      <w:pStyle w:val="Header"/>
      <w:tabs>
        <w:tab w:val="clear" w:pos="4320"/>
        <w:tab w:val="clear" w:pos="8640"/>
        <w:tab w:val="right" w:pos="9406"/>
      </w:tabs>
    </w:pPr>
    <w:r>
      <w:rPr>
        <w:noProof/>
        <w:lang w:eastAsia="en-AU"/>
      </w:rPr>
      <w:drawing>
        <wp:anchor distT="0" distB="0" distL="114300" distR="114300" simplePos="0" relativeHeight="251658240" behindDoc="0" locked="0" layoutInCell="1" allowOverlap="1" wp14:anchorId="15B1C1F8" wp14:editId="302744C5">
          <wp:simplePos x="0" y="0"/>
          <wp:positionH relativeFrom="page">
            <wp:align>right</wp:align>
          </wp:positionH>
          <wp:positionV relativeFrom="paragraph">
            <wp:posOffset>-450215</wp:posOffset>
          </wp:positionV>
          <wp:extent cx="7553325" cy="954405"/>
          <wp:effectExtent l="0" t="0" r="9525" b="0"/>
          <wp:wrapSquare wrapText="bothSides"/>
          <wp:docPr id="1988824163" name="Picture 1" descr="A blue and white background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24425038" name="Picture 1" descr="A blue and white background&#10;&#10;AI-generated content may be incorrect.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53325" cy="95440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62D4C"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3D3F26"/>
    <w:multiLevelType w:val="hybridMultilevel"/>
    <w:tmpl w:val="5CFA7000"/>
    <w:lvl w:ilvl="0" w:tplc="437E9A20">
      <w:start w:val="1"/>
      <w:numFmt w:val="bullet"/>
      <w:lvlText w:val="•"/>
      <w:lvlJc w:val="left"/>
      <w:pPr>
        <w:ind w:left="1080" w:hanging="720"/>
      </w:pPr>
      <w:rPr>
        <w:rFonts w:ascii="Calibri" w:eastAsiaTheme="minorEastAsia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F00D94"/>
    <w:multiLevelType w:val="hybridMultilevel"/>
    <w:tmpl w:val="492CA384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9C014DC"/>
    <w:multiLevelType w:val="hybridMultilevel"/>
    <w:tmpl w:val="BF5265EE"/>
    <w:lvl w:ilvl="0" w:tplc="FFFFFFFF">
      <w:numFmt w:val="bullet"/>
      <w:lvlText w:val="•"/>
      <w:lvlJc w:val="left"/>
      <w:pPr>
        <w:ind w:left="720" w:hanging="360"/>
      </w:pPr>
      <w:rPr>
        <w:rFonts w:ascii="Calibri" w:hAnsi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21F36FD"/>
    <w:multiLevelType w:val="hybridMultilevel"/>
    <w:tmpl w:val="89D077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3745125"/>
    <w:multiLevelType w:val="hybridMultilevel"/>
    <w:tmpl w:val="CBAAEC8A"/>
    <w:lvl w:ilvl="0" w:tplc="2B3CEB84">
      <w:start w:val="1"/>
      <w:numFmt w:val="bullet"/>
      <w:lvlText w:val="•"/>
      <w:lvlJc w:val="left"/>
      <w:pPr>
        <w:ind w:left="1080" w:hanging="720"/>
      </w:pPr>
      <w:rPr>
        <w:rFonts w:ascii="Calibri" w:eastAsiaTheme="minorEastAsia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F172F53"/>
    <w:multiLevelType w:val="hybridMultilevel"/>
    <w:tmpl w:val="5E7C529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48E6AA8"/>
    <w:multiLevelType w:val="hybridMultilevel"/>
    <w:tmpl w:val="51E8C01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2BA23B3"/>
    <w:multiLevelType w:val="hybridMultilevel"/>
    <w:tmpl w:val="796479D4"/>
    <w:lvl w:ilvl="0" w:tplc="0C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BA75C11"/>
    <w:multiLevelType w:val="hybridMultilevel"/>
    <w:tmpl w:val="8950598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F2C5D8F"/>
    <w:multiLevelType w:val="hybridMultilevel"/>
    <w:tmpl w:val="0B762090"/>
    <w:lvl w:ilvl="0" w:tplc="04090001">
      <w:start w:val="1"/>
      <w:numFmt w:val="bullet"/>
      <w:lvlText w:val=""/>
      <w:lvlJc w:val="left"/>
      <w:pPr>
        <w:ind w:left="94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6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38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0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2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54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6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8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707" w:hanging="360"/>
      </w:pPr>
      <w:rPr>
        <w:rFonts w:ascii="Wingdings" w:hAnsi="Wingdings" w:hint="default"/>
      </w:rPr>
    </w:lvl>
  </w:abstractNum>
  <w:abstractNum w:abstractNumId="10" w15:restartNumberingAfterBreak="0">
    <w:nsid w:val="6E8D5E91"/>
    <w:multiLevelType w:val="hybridMultilevel"/>
    <w:tmpl w:val="0C2AFE96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F3C0149"/>
    <w:multiLevelType w:val="hybridMultilevel"/>
    <w:tmpl w:val="D50E3514"/>
    <w:lvl w:ilvl="0" w:tplc="0409000F">
      <w:start w:val="1"/>
      <w:numFmt w:val="decimal"/>
      <w:lvlText w:val="%1."/>
      <w:lvlJc w:val="left"/>
      <w:pPr>
        <w:ind w:left="891" w:hanging="360"/>
      </w:pPr>
    </w:lvl>
    <w:lvl w:ilvl="1" w:tplc="04090019" w:tentative="1">
      <w:start w:val="1"/>
      <w:numFmt w:val="lowerLetter"/>
      <w:lvlText w:val="%2."/>
      <w:lvlJc w:val="left"/>
      <w:pPr>
        <w:ind w:left="1611" w:hanging="360"/>
      </w:pPr>
    </w:lvl>
    <w:lvl w:ilvl="2" w:tplc="0409001B" w:tentative="1">
      <w:start w:val="1"/>
      <w:numFmt w:val="lowerRoman"/>
      <w:lvlText w:val="%3."/>
      <w:lvlJc w:val="right"/>
      <w:pPr>
        <w:ind w:left="2331" w:hanging="180"/>
      </w:pPr>
    </w:lvl>
    <w:lvl w:ilvl="3" w:tplc="0409000F" w:tentative="1">
      <w:start w:val="1"/>
      <w:numFmt w:val="decimal"/>
      <w:lvlText w:val="%4."/>
      <w:lvlJc w:val="left"/>
      <w:pPr>
        <w:ind w:left="3051" w:hanging="360"/>
      </w:pPr>
    </w:lvl>
    <w:lvl w:ilvl="4" w:tplc="04090019" w:tentative="1">
      <w:start w:val="1"/>
      <w:numFmt w:val="lowerLetter"/>
      <w:lvlText w:val="%5."/>
      <w:lvlJc w:val="left"/>
      <w:pPr>
        <w:ind w:left="3771" w:hanging="360"/>
      </w:pPr>
    </w:lvl>
    <w:lvl w:ilvl="5" w:tplc="0409001B" w:tentative="1">
      <w:start w:val="1"/>
      <w:numFmt w:val="lowerRoman"/>
      <w:lvlText w:val="%6."/>
      <w:lvlJc w:val="right"/>
      <w:pPr>
        <w:ind w:left="4491" w:hanging="180"/>
      </w:pPr>
    </w:lvl>
    <w:lvl w:ilvl="6" w:tplc="0409000F" w:tentative="1">
      <w:start w:val="1"/>
      <w:numFmt w:val="decimal"/>
      <w:lvlText w:val="%7."/>
      <w:lvlJc w:val="left"/>
      <w:pPr>
        <w:ind w:left="5211" w:hanging="360"/>
      </w:pPr>
    </w:lvl>
    <w:lvl w:ilvl="7" w:tplc="04090019" w:tentative="1">
      <w:start w:val="1"/>
      <w:numFmt w:val="lowerLetter"/>
      <w:lvlText w:val="%8."/>
      <w:lvlJc w:val="left"/>
      <w:pPr>
        <w:ind w:left="5931" w:hanging="360"/>
      </w:pPr>
    </w:lvl>
    <w:lvl w:ilvl="8" w:tplc="0409001B" w:tentative="1">
      <w:start w:val="1"/>
      <w:numFmt w:val="lowerRoman"/>
      <w:lvlText w:val="%9."/>
      <w:lvlJc w:val="right"/>
      <w:pPr>
        <w:ind w:left="6651" w:hanging="180"/>
      </w:pPr>
    </w:lvl>
  </w:abstractNum>
  <w:num w:numId="1" w16cid:durableId="1095974995">
    <w:abstractNumId w:val="11"/>
  </w:num>
  <w:num w:numId="2" w16cid:durableId="1225216746">
    <w:abstractNumId w:val="9"/>
  </w:num>
  <w:num w:numId="3" w16cid:durableId="1814249159">
    <w:abstractNumId w:val="6"/>
  </w:num>
  <w:num w:numId="4" w16cid:durableId="21635797">
    <w:abstractNumId w:val="3"/>
  </w:num>
  <w:num w:numId="5" w16cid:durableId="1229728699">
    <w:abstractNumId w:val="4"/>
  </w:num>
  <w:num w:numId="6" w16cid:durableId="291256346">
    <w:abstractNumId w:val="2"/>
  </w:num>
  <w:num w:numId="7" w16cid:durableId="1863005943">
    <w:abstractNumId w:val="0"/>
  </w:num>
  <w:num w:numId="8" w16cid:durableId="367147149">
    <w:abstractNumId w:val="1"/>
  </w:num>
  <w:num w:numId="9" w16cid:durableId="1380016366">
    <w:abstractNumId w:val="5"/>
  </w:num>
  <w:num w:numId="10" w16cid:durableId="1608851871">
    <w:abstractNumId w:val="2"/>
  </w:num>
  <w:num w:numId="11" w16cid:durableId="1500078434">
    <w:abstractNumId w:val="7"/>
  </w:num>
  <w:num w:numId="12" w16cid:durableId="959341243">
    <w:abstractNumId w:val="8"/>
  </w:num>
  <w:num w:numId="13" w16cid:durableId="1333920510">
    <w:abstractNumId w:val="1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Carrie Jones">
    <w15:presenceInfo w15:providerId="AD" w15:userId="S::carrie.jones@afac.com.au::9b0ec33f-6ea6-4ee4-ac6a-ca4cd65aa1bb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97519"/>
    <w:rsid w:val="0000077A"/>
    <w:rsid w:val="000250D5"/>
    <w:rsid w:val="000367A5"/>
    <w:rsid w:val="00036C74"/>
    <w:rsid w:val="000D0DB5"/>
    <w:rsid w:val="000F059B"/>
    <w:rsid w:val="000F0F4A"/>
    <w:rsid w:val="000F419A"/>
    <w:rsid w:val="00113541"/>
    <w:rsid w:val="00126AED"/>
    <w:rsid w:val="00143673"/>
    <w:rsid w:val="001628C5"/>
    <w:rsid w:val="00167843"/>
    <w:rsid w:val="00182AEA"/>
    <w:rsid w:val="001B05BF"/>
    <w:rsid w:val="001D6C93"/>
    <w:rsid w:val="001F5125"/>
    <w:rsid w:val="002032F0"/>
    <w:rsid w:val="00262D4C"/>
    <w:rsid w:val="0027422C"/>
    <w:rsid w:val="002872D2"/>
    <w:rsid w:val="0029318B"/>
    <w:rsid w:val="00316E40"/>
    <w:rsid w:val="003F40FA"/>
    <w:rsid w:val="00422E64"/>
    <w:rsid w:val="004C09BB"/>
    <w:rsid w:val="004E1FF2"/>
    <w:rsid w:val="00502297"/>
    <w:rsid w:val="005E4D24"/>
    <w:rsid w:val="006243DB"/>
    <w:rsid w:val="00666DBF"/>
    <w:rsid w:val="00666E79"/>
    <w:rsid w:val="0067188B"/>
    <w:rsid w:val="00687D75"/>
    <w:rsid w:val="00695DAE"/>
    <w:rsid w:val="006B5152"/>
    <w:rsid w:val="006C6919"/>
    <w:rsid w:val="006D392C"/>
    <w:rsid w:val="006E5419"/>
    <w:rsid w:val="0072151A"/>
    <w:rsid w:val="007C49D6"/>
    <w:rsid w:val="007C746B"/>
    <w:rsid w:val="007D1842"/>
    <w:rsid w:val="008A15E0"/>
    <w:rsid w:val="008A2427"/>
    <w:rsid w:val="008F4CD0"/>
    <w:rsid w:val="008F4D43"/>
    <w:rsid w:val="00914F37"/>
    <w:rsid w:val="00952C6B"/>
    <w:rsid w:val="009661F7"/>
    <w:rsid w:val="00A0011F"/>
    <w:rsid w:val="00A009AB"/>
    <w:rsid w:val="00A13B0B"/>
    <w:rsid w:val="00A224B7"/>
    <w:rsid w:val="00A97519"/>
    <w:rsid w:val="00AA19BE"/>
    <w:rsid w:val="00AB5607"/>
    <w:rsid w:val="00AD588C"/>
    <w:rsid w:val="00AF78A2"/>
    <w:rsid w:val="00B11D4A"/>
    <w:rsid w:val="00B82174"/>
    <w:rsid w:val="00BB6603"/>
    <w:rsid w:val="00BC76FB"/>
    <w:rsid w:val="00BD5305"/>
    <w:rsid w:val="00BE2AEF"/>
    <w:rsid w:val="00CE6A1E"/>
    <w:rsid w:val="00D14B38"/>
    <w:rsid w:val="00D61E6E"/>
    <w:rsid w:val="00D91049"/>
    <w:rsid w:val="00D92538"/>
    <w:rsid w:val="00E11E16"/>
    <w:rsid w:val="00E43D15"/>
    <w:rsid w:val="00E85782"/>
    <w:rsid w:val="00EE3C5B"/>
    <w:rsid w:val="00F86377"/>
    <w:rsid w:val="00FD6336"/>
    <w:rsid w:val="00FE078B"/>
    <w:rsid w:val="163A0D43"/>
    <w:rsid w:val="1DFB134C"/>
    <w:rsid w:val="26B62025"/>
    <w:rsid w:val="2C3F6130"/>
    <w:rsid w:val="41FC6E6D"/>
    <w:rsid w:val="4D59AEB7"/>
    <w:rsid w:val="4F7A2045"/>
    <w:rsid w:val="6070C7FB"/>
    <w:rsid w:val="7186DED8"/>
    <w:rsid w:val="7C1738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oNotEmbedSmartTags/>
  <w:decimalSymbol w:val="."/>
  <w:listSeparator w:val=","/>
  <w14:docId w14:val="0B6BAB05"/>
  <w14:defaultImageDpi w14:val="300"/>
  <w15:docId w15:val="{EC854D48-0616-4047-B2F5-E6135B8BB2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EastAsia" w:hAnsi="Times New Roman" w:cs="Times New Roman"/>
        <w:lang w:val="en-AU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85782"/>
    <w:rPr>
      <w:rFonts w:ascii="Calibri" w:hAnsi="Calibri"/>
      <w:sz w:val="22"/>
      <w:szCs w:val="24"/>
      <w:lang w:eastAsia="en-US"/>
    </w:rPr>
  </w:style>
  <w:style w:type="paragraph" w:styleId="Heading1">
    <w:name w:val="heading 1"/>
    <w:basedOn w:val="Heading2"/>
    <w:next w:val="Normal"/>
    <w:link w:val="Heading1Char"/>
    <w:uiPriority w:val="9"/>
    <w:qFormat/>
    <w:rsid w:val="001B05BF"/>
    <w:pPr>
      <w:outlineLvl w:val="0"/>
    </w:pPr>
    <w:rPr>
      <w:sz w:val="44"/>
      <w:szCs w:val="44"/>
    </w:rPr>
  </w:style>
  <w:style w:type="paragraph" w:styleId="Heading2">
    <w:name w:val="heading 2"/>
    <w:aliases w:val="Heading 2 - secondary"/>
    <w:basedOn w:val="Heading"/>
    <w:next w:val="Normal"/>
    <w:link w:val="Heading2Char"/>
    <w:uiPriority w:val="99"/>
    <w:qFormat/>
    <w:rsid w:val="001B05BF"/>
    <w:pPr>
      <w:pBdr>
        <w:bottom w:val="single" w:sz="18" w:space="8" w:color="1F497D" w:themeColor="text2"/>
      </w:pBdr>
      <w:outlineLvl w:val="1"/>
    </w:pPr>
    <w:rPr>
      <w:rFonts w:asciiTheme="majorHAnsi" w:hAnsiTheme="majorHAnsi"/>
      <w:color w:val="0033A0"/>
      <w:sz w:val="28"/>
      <w:szCs w:val="28"/>
    </w:rPr>
  </w:style>
  <w:style w:type="paragraph" w:styleId="Heading3">
    <w:name w:val="heading 3"/>
    <w:basedOn w:val="Heading2"/>
    <w:next w:val="Normal"/>
    <w:link w:val="Heading3Char"/>
    <w:uiPriority w:val="9"/>
    <w:unhideWhenUsed/>
    <w:qFormat/>
    <w:rsid w:val="001B05BF"/>
    <w:pPr>
      <w:pBdr>
        <w:bottom w:val="none" w:sz="0" w:space="0" w:color="auto"/>
      </w:pBdr>
      <w:spacing w:before="200" w:after="120"/>
      <w:outlineLvl w:val="2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D588C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D588C"/>
    <w:rPr>
      <w:rFonts w:ascii="Lucida Grande" w:hAnsi="Lucida Grande" w:cs="Lucida Grande"/>
      <w:sz w:val="18"/>
      <w:szCs w:val="18"/>
      <w:lang w:eastAsia="en-US"/>
    </w:rPr>
  </w:style>
  <w:style w:type="paragraph" w:styleId="Header">
    <w:name w:val="header"/>
    <w:basedOn w:val="Normal"/>
    <w:link w:val="HeaderChar"/>
    <w:uiPriority w:val="99"/>
    <w:unhideWhenUsed/>
    <w:rsid w:val="00AD588C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D588C"/>
    <w:rPr>
      <w:sz w:val="24"/>
      <w:szCs w:val="24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AD588C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D588C"/>
    <w:rPr>
      <w:sz w:val="24"/>
      <w:szCs w:val="24"/>
      <w:lang w:eastAsia="en-US"/>
    </w:rPr>
  </w:style>
  <w:style w:type="character" w:customStyle="1" w:styleId="Heading2Char">
    <w:name w:val="Heading 2 Char"/>
    <w:aliases w:val="Heading 2 - secondary Char"/>
    <w:basedOn w:val="DefaultParagraphFont"/>
    <w:link w:val="Heading2"/>
    <w:uiPriority w:val="99"/>
    <w:rsid w:val="001B05BF"/>
    <w:rPr>
      <w:rFonts w:asciiTheme="majorHAnsi" w:hAnsiTheme="majorHAnsi" w:cs="MyriadPro-Bold"/>
      <w:b/>
      <w:bCs/>
      <w:color w:val="0033A0"/>
      <w:sz w:val="28"/>
      <w:szCs w:val="28"/>
      <w:lang w:val="en-GB"/>
    </w:rPr>
  </w:style>
  <w:style w:type="paragraph" w:customStyle="1" w:styleId="BodyText1">
    <w:name w:val="Body Text1"/>
    <w:basedOn w:val="Normal"/>
    <w:uiPriority w:val="99"/>
    <w:rsid w:val="00AD588C"/>
    <w:pPr>
      <w:widowControl w:val="0"/>
      <w:suppressAutoHyphens/>
      <w:autoSpaceDE w:val="0"/>
      <w:autoSpaceDN w:val="0"/>
      <w:adjustRightInd w:val="0"/>
      <w:spacing w:before="28" w:after="85" w:line="288" w:lineRule="auto"/>
      <w:textAlignment w:val="center"/>
    </w:pPr>
    <w:rPr>
      <w:rFonts w:ascii="MyriadPro-Regular" w:hAnsi="MyriadPro-Regular" w:cs="MyriadPro-Regular"/>
      <w:color w:val="000000"/>
      <w:szCs w:val="22"/>
      <w:lang w:val="en-GB" w:eastAsia="ja-JP"/>
    </w:rPr>
  </w:style>
  <w:style w:type="paragraph" w:customStyle="1" w:styleId="Heading">
    <w:name w:val="Heading"/>
    <w:basedOn w:val="BodyText1"/>
    <w:uiPriority w:val="99"/>
    <w:rsid w:val="00AD588C"/>
    <w:pPr>
      <w:pBdr>
        <w:bottom w:val="single" w:sz="16" w:space="8" w:color="auto"/>
      </w:pBdr>
      <w:spacing w:after="340" w:line="480" w:lineRule="atLeast"/>
    </w:pPr>
    <w:rPr>
      <w:rFonts w:ascii="MyriadPro-Bold" w:hAnsi="MyriadPro-Bold" w:cs="MyriadPro-Bold"/>
      <w:b/>
      <w:bCs/>
      <w:color w:val="003FFF"/>
      <w:sz w:val="44"/>
      <w:szCs w:val="44"/>
    </w:rPr>
  </w:style>
  <w:style w:type="paragraph" w:customStyle="1" w:styleId="Numberedlist">
    <w:name w:val="Numbered list"/>
    <w:basedOn w:val="BodyText1"/>
    <w:uiPriority w:val="99"/>
    <w:rsid w:val="00AD588C"/>
    <w:pPr>
      <w:spacing w:before="0"/>
      <w:ind w:left="454" w:hanging="283"/>
    </w:pPr>
  </w:style>
  <w:style w:type="paragraph" w:customStyle="1" w:styleId="Bulletpoints">
    <w:name w:val="Bullet points"/>
    <w:basedOn w:val="BodyText1"/>
    <w:uiPriority w:val="99"/>
    <w:rsid w:val="00AD588C"/>
    <w:pPr>
      <w:spacing w:before="0"/>
      <w:ind w:left="454" w:hanging="227"/>
    </w:pPr>
  </w:style>
  <w:style w:type="character" w:customStyle="1" w:styleId="Bodyitalics">
    <w:name w:val="Body italics"/>
    <w:uiPriority w:val="99"/>
    <w:rsid w:val="00AD588C"/>
    <w:rPr>
      <w:rFonts w:ascii="MyriadPro-It" w:hAnsi="MyriadPro-It" w:cs="MyriadPro-It"/>
      <w:i/>
      <w:iCs/>
      <w:spacing w:val="0"/>
      <w:sz w:val="22"/>
      <w:szCs w:val="22"/>
      <w:vertAlign w:val="baseline"/>
    </w:rPr>
  </w:style>
  <w:style w:type="paragraph" w:styleId="Quote">
    <w:name w:val="Quote"/>
    <w:basedOn w:val="Normal"/>
    <w:next w:val="Normal"/>
    <w:link w:val="QuoteChar"/>
    <w:uiPriority w:val="29"/>
    <w:rsid w:val="00AD588C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AD588C"/>
    <w:rPr>
      <w:i/>
      <w:iCs/>
      <w:color w:val="000000" w:themeColor="text1"/>
      <w:sz w:val="24"/>
      <w:szCs w:val="24"/>
      <w:lang w:eastAsia="en-US"/>
    </w:rPr>
  </w:style>
  <w:style w:type="character" w:styleId="PageNumber">
    <w:name w:val="page number"/>
    <w:basedOn w:val="DefaultParagraphFont"/>
    <w:uiPriority w:val="99"/>
    <w:semiHidden/>
    <w:unhideWhenUsed/>
    <w:rsid w:val="00AD588C"/>
  </w:style>
  <w:style w:type="character" w:customStyle="1" w:styleId="Heading1Char">
    <w:name w:val="Heading 1 Char"/>
    <w:basedOn w:val="DefaultParagraphFont"/>
    <w:link w:val="Heading1"/>
    <w:uiPriority w:val="9"/>
    <w:rsid w:val="001B05BF"/>
    <w:rPr>
      <w:rFonts w:asciiTheme="majorHAnsi" w:hAnsiTheme="majorHAnsi" w:cs="MyriadPro-Bold"/>
      <w:b/>
      <w:bCs/>
      <w:color w:val="0033A0"/>
      <w:sz w:val="44"/>
      <w:szCs w:val="44"/>
      <w:lang w:val="en-GB"/>
    </w:rPr>
  </w:style>
  <w:style w:type="character" w:customStyle="1" w:styleId="Heading3Char">
    <w:name w:val="Heading 3 Char"/>
    <w:basedOn w:val="DefaultParagraphFont"/>
    <w:link w:val="Heading3"/>
    <w:uiPriority w:val="9"/>
    <w:rsid w:val="001B05BF"/>
    <w:rPr>
      <w:rFonts w:asciiTheme="majorHAnsi" w:hAnsiTheme="majorHAnsi" w:cs="MyriadPro-Bold"/>
      <w:b/>
      <w:bCs/>
      <w:color w:val="0033A0"/>
      <w:sz w:val="28"/>
      <w:szCs w:val="28"/>
      <w:lang w:val="en-GB"/>
    </w:rPr>
  </w:style>
  <w:style w:type="paragraph" w:styleId="ListParagraph">
    <w:name w:val="List Paragraph"/>
    <w:basedOn w:val="Normal"/>
    <w:uiPriority w:val="34"/>
    <w:qFormat/>
    <w:rsid w:val="00FD6336"/>
    <w:pPr>
      <w:ind w:left="720"/>
      <w:contextualSpacing/>
    </w:pPr>
  </w:style>
  <w:style w:type="paragraph" w:customStyle="1" w:styleId="TableParagraph">
    <w:name w:val="Table Paragraph"/>
    <w:basedOn w:val="Normal"/>
    <w:uiPriority w:val="1"/>
    <w:qFormat/>
    <w:rsid w:val="00036C74"/>
    <w:pPr>
      <w:widowControl w:val="0"/>
    </w:pPr>
    <w:rPr>
      <w:rFonts w:asciiTheme="minorHAnsi" w:eastAsiaTheme="minorHAnsi" w:hAnsiTheme="minorHAnsi" w:cstheme="minorBidi"/>
      <w:szCs w:val="22"/>
      <w:lang w:val="en-US"/>
    </w:rPr>
  </w:style>
  <w:style w:type="table" w:styleId="TableGrid">
    <w:name w:val="Table Grid"/>
    <w:basedOn w:val="TableNormal"/>
    <w:uiPriority w:val="59"/>
    <w:rsid w:val="00BC76FB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7D1842"/>
    <w:rPr>
      <w:rFonts w:ascii="Calibri" w:hAnsi="Calibri"/>
      <w:sz w:val="22"/>
      <w:szCs w:val="24"/>
      <w:lang w:eastAsia="en-US"/>
    </w:rPr>
  </w:style>
  <w:style w:type="character" w:customStyle="1" w:styleId="normaltextrun">
    <w:name w:val="normaltextrun"/>
    <w:basedOn w:val="DefaultParagraphFont"/>
    <w:rsid w:val="00126AED"/>
  </w:style>
  <w:style w:type="character" w:customStyle="1" w:styleId="eop">
    <w:name w:val="eop"/>
    <w:basedOn w:val="DefaultParagraphFont"/>
    <w:rsid w:val="00126AED"/>
  </w:style>
  <w:style w:type="character" w:styleId="CommentReference">
    <w:name w:val="annotation reference"/>
    <w:basedOn w:val="DefaultParagraphFont"/>
    <w:uiPriority w:val="99"/>
    <w:semiHidden/>
    <w:unhideWhenUsed/>
    <w:rsid w:val="009661F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9661F7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9661F7"/>
    <w:rPr>
      <w:rFonts w:ascii="Calibri" w:hAnsi="Calibri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661F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661F7"/>
    <w:rPr>
      <w:rFonts w:ascii="Calibri" w:hAnsi="Calibri"/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6953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microsoft.com/office/2018/08/relationships/commentsExtensible" Target="commentsExtensible.xml"/><Relationship Id="rId18" Type="http://schemas.microsoft.com/office/2011/relationships/people" Target="peop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microsoft.com/office/2016/09/relationships/commentsIds" Target="commentsIds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microsoft.com/office/2011/relationships/commentsExtended" Target="commentsExtended.xml"/><Relationship Id="rId5" Type="http://schemas.openxmlformats.org/officeDocument/2006/relationships/styles" Target="styles.xml"/><Relationship Id="rId15" Type="http://schemas.openxmlformats.org/officeDocument/2006/relationships/footer" Target="footer1.xml"/><Relationship Id="rId10" Type="http://schemas.openxmlformats.org/officeDocument/2006/relationships/comments" Target="comments.xml"/><Relationship Id="rId19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207F12DF71A5B4784F72FD1D7211CDE" ma:contentTypeVersion="14" ma:contentTypeDescription="Create a new document." ma:contentTypeScope="" ma:versionID="fed5611480227d16319df4091096b20a">
  <xsd:schema xmlns:xsd="http://www.w3.org/2001/XMLSchema" xmlns:xs="http://www.w3.org/2001/XMLSchema" xmlns:p="http://schemas.microsoft.com/office/2006/metadata/properties" xmlns:ns2="df10de6a-2af6-4d97-9ed9-21b34d6d71e3" xmlns:ns3="c2d18b62-c976-42d0-8b5e-35ce40c33f66" targetNamespace="http://schemas.microsoft.com/office/2006/metadata/properties" ma:root="true" ma:fieldsID="73a3d2948e5411edb54323a40305d44f" ns2:_="" ns3:_="">
    <xsd:import namespace="df10de6a-2af6-4d97-9ed9-21b34d6d71e3"/>
    <xsd:import namespace="c2d18b62-c976-42d0-8b5e-35ce40c33f6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order0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f10de6a-2af6-4d97-9ed9-21b34d6d71e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c4005520-e530-4a8b-9ad9-7be756f6749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8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order0" ma:index="20" nillable="true" ma:displayName="order" ma:format="Dropdown" ma:internalName="order0" ma:percentage="FALSE">
      <xsd:simpleType>
        <xsd:restriction base="dms:Number"/>
      </xsd:simpleType>
    </xsd:element>
    <xsd:element name="MediaServiceLocation" ma:index="21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2d18b62-c976-42d0-8b5e-35ce40c33f66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700d7ac3-38db-4b54-8534-00e3eca935a0}" ma:internalName="TaxCatchAll" ma:showField="CatchAllData" ma:web="c2d18b62-c976-42d0-8b5e-35ce40c33f6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f10de6a-2af6-4d97-9ed9-21b34d6d71e3">
      <Terms xmlns="http://schemas.microsoft.com/office/infopath/2007/PartnerControls"/>
    </lcf76f155ced4ddcb4097134ff3c332f>
    <TaxCatchAll xmlns="c2d18b62-c976-42d0-8b5e-35ce40c33f66" xsi:nil="true"/>
    <order0 xmlns="df10de6a-2af6-4d97-9ed9-21b34d6d71e3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A145051-1BB2-482A-B30E-40085AB706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f10de6a-2af6-4d97-9ed9-21b34d6d71e3"/>
    <ds:schemaRef ds:uri="c2d18b62-c976-42d0-8b5e-35ce40c33f6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998E17C-6FE8-4DF3-AB33-C34B15C804E0}">
  <ds:schemaRefs>
    <ds:schemaRef ds:uri="http://schemas.microsoft.com/office/2006/metadata/properties"/>
    <ds:schemaRef ds:uri="http://schemas.microsoft.com/office/infopath/2007/PartnerControls"/>
    <ds:schemaRef ds:uri="df10de6a-2af6-4d97-9ed9-21b34d6d71e3"/>
    <ds:schemaRef ds:uri="c2d18b62-c976-42d0-8b5e-35ce40c33f66"/>
  </ds:schemaRefs>
</ds:datastoreItem>
</file>

<file path=customXml/itemProps3.xml><?xml version="1.0" encoding="utf-8"?>
<ds:datastoreItem xmlns:ds="http://schemas.openxmlformats.org/officeDocument/2006/customXml" ds:itemID="{DCD049C5-2B5C-43A1-BDFF-0DDD4D6A336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750</Words>
  <Characters>4276</Characters>
  <Application>Microsoft Office Word</Application>
  <DocSecurity>0</DocSecurity>
  <Lines>35</Lines>
  <Paragraphs>10</Paragraphs>
  <ScaleCrop>false</ScaleCrop>
  <Company>Coretext</Company>
  <LinksUpToDate>false</LinksUpToDate>
  <CharactersWithSpaces>5016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Alyce Scanlon-Batt</dc:creator>
  <cp:lastModifiedBy>Adam Moore</cp:lastModifiedBy>
  <cp:revision>16</cp:revision>
  <cp:lastPrinted>2018-03-06T22:49:00Z</cp:lastPrinted>
  <dcterms:created xsi:type="dcterms:W3CDTF">2018-08-16T05:53:00Z</dcterms:created>
  <dcterms:modified xsi:type="dcterms:W3CDTF">2025-09-30T01:55:00Z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0x0101006207F12DF71A5B4784F72FD1D7211CDE</vt:lpwstr>
  </property>
  <property fmtid="{D5CDD505-2E9C-101B-9397-08002B2CF9AE}" pid="3" name="MediaServiceImageTags">
    <vt:lpwstr/>
  </property>
  <property fmtid="{D5CDD505-2E9C-101B-9397-08002B2CF9AE}" pid="4" name="docLang">
    <vt:lpwstr>en</vt:lpwstr>
  </property>
</Properties>
</file>